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F4" w:rsidRDefault="007054F4" w:rsidP="00B5323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7054F4" w:rsidRDefault="007054F4" w:rsidP="00B5323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7054F4">
        <w:rPr>
          <w:rFonts w:ascii="Arial" w:eastAsiaTheme="minorHAnsi" w:hAnsi="Arial" w:cs="Arial"/>
          <w:color w:val="auto"/>
          <w:sz w:val="20"/>
          <w:szCs w:val="20"/>
        </w:rPr>
        <w:t>"Кодекс Российской Федерации об административных правонарушениях" от 30.12.2001</w:t>
      </w:r>
      <w:r w:rsidR="00FB0256">
        <w:rPr>
          <w:rFonts w:ascii="Arial" w:eastAsiaTheme="minorHAnsi" w:hAnsi="Arial" w:cs="Arial"/>
          <w:color w:val="auto"/>
          <w:sz w:val="20"/>
          <w:szCs w:val="20"/>
        </w:rPr>
        <w:br/>
      </w:r>
      <w:r w:rsidRPr="007054F4">
        <w:rPr>
          <w:rFonts w:ascii="Arial" w:eastAsiaTheme="minorHAnsi" w:hAnsi="Arial" w:cs="Arial"/>
          <w:color w:val="auto"/>
          <w:sz w:val="20"/>
          <w:szCs w:val="20"/>
        </w:rPr>
        <w:t xml:space="preserve"> N 195-ФЗ (ред. от 29.05.2024)</w:t>
      </w:r>
    </w:p>
    <w:p w:rsidR="00FB0256" w:rsidRDefault="00FB0256" w:rsidP="00B5323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7054F4" w:rsidRDefault="007054F4" w:rsidP="00B5323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_GoBack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В Ы Д Е Р Ж К И:</w:t>
      </w:r>
    </w:p>
    <w:p w:rsidR="007054F4" w:rsidRDefault="007054F4" w:rsidP="00B5323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B5323C" w:rsidRDefault="00B5323C" w:rsidP="00B5323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12.21.1. Нарушение правил движения тяжеловесного и (или) крупногабаритного транспортного средства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13.07.2015 N 248-ФЗ)</w:t>
      </w:r>
    </w:p>
    <w:p w:rsidR="007054F4" w:rsidRDefault="007054F4" w:rsidP="00B53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53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Перспективы и риски арбитражных споров. Ситуации, связанные со ст. 12.21.1. КоАП РФ</w:t>
            </w:r>
          </w:p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-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Организация (ИП) хочет взыскать убытки в связи с помещением ТС на </w:t>
              </w:r>
              <w:proofErr w:type="spellStart"/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спецстоянку</w:t>
              </w:r>
              <w:proofErr w:type="spellEnd"/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 xml:space="preserve"> при привлечении к ответственности по ст. 12.21.1 КоАП РФ за нарушение правил движения тяжеловесного и (или) крупногабаритного транспортного средства</w:t>
              </w:r>
            </w:hyperlink>
          </w:p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-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Уполномоченный орган хочет возместить ущерб, причиненный автомобильным дорогам, при привлечении к ответственности по ст. 12.21.1 КоАП РФ за нарушение правил движения тяжеловесного и (или) крупногабаритного транспортного средства</w:t>
              </w:r>
            </w:hyperlink>
          </w:p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-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Организация (ИП) оспаривает привлечение к ответственности по ст. 12.21.1 КоАП РФ за нарушение правил движения тяжеловесного и (или) крупногабаритного транспортного средства</w:t>
              </w:r>
            </w:hyperlink>
          </w:p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-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Организация (ИП) хочет взыскать убытки в размере штрафа, уплаченного в связи с привлечением к ответственности по ст. 12.21.1 КоАП РФ за нарушение правил движения тяжеловесного и (или) крупногабаритного транспортного средства</w:t>
              </w:r>
            </w:hyperlink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53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 пресечении нарушений, предусмотренных ч. 1-6 ст. 12.21.1, применяется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задержание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ТС.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5323C" w:rsidRDefault="00B5323C" w:rsidP="00B5323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0"/>
      <w:bookmarkEnd w:id="1"/>
      <w:r>
        <w:rPr>
          <w:rFonts w:ascii="Arial" w:hAnsi="Arial" w:cs="Arial"/>
          <w:sz w:val="20"/>
          <w:szCs w:val="20"/>
        </w:rPr>
        <w:t xml:space="preserve">1. Движение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крупногабаритного</w:t>
        </w:r>
      </w:hyperlink>
      <w:r>
        <w:rPr>
          <w:rFonts w:ascii="Arial" w:hAnsi="Arial" w:cs="Arial"/>
          <w:sz w:val="20"/>
          <w:szCs w:val="20"/>
        </w:rPr>
        <w:t xml:space="preserve"> транспортного средства с превышением допустимых габаритов транспортного средства на величину не более 10 сантиметров без специального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разрешения</w:t>
        </w:r>
      </w:hyperlink>
      <w:r>
        <w:rPr>
          <w:rFonts w:ascii="Arial" w:hAnsi="Arial" w:cs="Arial"/>
          <w:sz w:val="20"/>
          <w:szCs w:val="20"/>
        </w:rPr>
        <w:t xml:space="preserve"> либо с превышением габаритов, указанных в специальном разрешении, на величину не более 10 сантиметров, за исключением случаев, предусмотренных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12.21.5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-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11.06.2022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161-ФЗ</w:t>
        </w:r>
      </w:hyperlink>
      <w:r>
        <w:rPr>
          <w:rFonts w:ascii="Arial" w:hAnsi="Arial" w:cs="Arial"/>
          <w:sz w:val="20"/>
          <w:szCs w:val="20"/>
        </w:rPr>
        <w:t xml:space="preserve">, от 04.08.2023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425-ФЗ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водителя в размере от одной тысячи до одной тысячи пятисот рублей; на должностных лиц, ответственных за перевозку, - от десяти тысяч до пятнадцати тысяч рублей; на юридических лиц - от ста тысяч до ста пятидесяти тысяч рублей.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28.02.2023 N 48-ФЗ)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4"/>
      <w:bookmarkEnd w:id="2"/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Движение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тяжеловесного</w:t>
        </w:r>
      </w:hyperlink>
      <w:r>
        <w:rPr>
          <w:rFonts w:ascii="Arial" w:hAnsi="Arial" w:cs="Arial"/>
          <w:sz w:val="20"/>
          <w:szCs w:val="20"/>
        </w:rPr>
        <w:t xml:space="preserve"> и (или) крупногабаритного транспортного средства с превышением допустимых габаритов транспортного средства на величину более 10,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10, но не более 20 процентов без специального разрешения, за исключением случаев, предусмотренных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12.21.5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-</w:t>
      </w:r>
      <w:proofErr w:type="gramEnd"/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04.08.2023 N 425-ФЗ)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собственника (владельца) транспортного средства в размере двухсот пятидесяти тысяч рублей.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03.04.2023 N 103-ФЗ)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8"/>
      <w:bookmarkEnd w:id="3"/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Движение тяжеловесного и (или) крупногабаритного транспортного средства с превышением допустимых габаритов транспортного средства на величину более 20,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20, но не более 50 процентов без специального разрешения, за исключением случаев, предусмотренных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12.21.5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-</w:t>
      </w:r>
      <w:proofErr w:type="gramEnd"/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04.08.2023 N 425-ФЗ)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собственника (владельца) транспортного средства в размере трехсот пятидесяти тысяч рублей.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03.04.2023 N 103-ФЗ)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22"/>
      <w:bookmarkEnd w:id="4"/>
      <w:r>
        <w:rPr>
          <w:rFonts w:ascii="Arial" w:hAnsi="Arial" w:cs="Arial"/>
          <w:sz w:val="20"/>
          <w:szCs w:val="20"/>
        </w:rPr>
        <w:lastRenderedPageBreak/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Движение тяжеловесного и (или) крупногабаритного транспортного средства с превышением габаритов, указанных в специальном разрешении, на величину более 10, но не более 20 сантиметров либо с превышением массы транспортного средства или нагрузки на ось транспортного средства, указанных в специальном разрешении, на величину более 10, но не более 20 процентов, за исключением случаев, предусмотренных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12.21.5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-</w:t>
      </w:r>
      <w:proofErr w:type="gramEnd"/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04.08.2023 N 425-ФЗ)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собственника (владельца) транспортного средства в размере двухсот тысяч рублей.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03.04.2023 N 103-ФЗ)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6"/>
      <w:bookmarkEnd w:id="5"/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 xml:space="preserve">Движение тяжеловесного и (или) крупногабаритного транспортного средства с превышением габаритов, указанных в специальном разрешении, на величину более 20, но не более 50 сантиметров либо с превышением массы транспортного средства или нагрузки на ось транспортного средства, указанных в специальном разрешении, на величину более 20, но не более 50 процентов, за исключением случаев, предусмотренных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12.21.5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-</w:t>
      </w:r>
      <w:proofErr w:type="gramEnd"/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04.08.2023 N 425-ФЗ)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собственника (владельца) транспортного средства в размере трехсот тысяч рублей.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03.04.2023 N 103-ФЗ)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30"/>
      <w:bookmarkEnd w:id="6"/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Движение тяжеловесного и (или) крупногабаритного транспортного средства с превышением допустимых габаритов на величину более 50 сантиметров без специального разрешения, либо с превышением габаритов, указанных в специальном разрешении, на величину более 50 сантиметров,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разрешения, либо с превышением массы транспортного средства</w:t>
      </w:r>
      <w:proofErr w:type="gramEnd"/>
      <w:r>
        <w:rPr>
          <w:rFonts w:ascii="Arial" w:hAnsi="Arial" w:cs="Arial"/>
          <w:sz w:val="20"/>
          <w:szCs w:val="20"/>
        </w:rPr>
        <w:t xml:space="preserve"> или нагрузки на ось транспортного средства, указанных в специальном разрешении, на величину более 50 процентов, за исключением случаев, предусмотренных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12.21.5</w:t>
        </w:r>
      </w:hyperlink>
      <w:r>
        <w:rPr>
          <w:rFonts w:ascii="Arial" w:hAnsi="Arial" w:cs="Arial"/>
          <w:sz w:val="20"/>
          <w:szCs w:val="20"/>
        </w:rPr>
        <w:t xml:space="preserve"> настоящего Кодекса, -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04.08.2023 N 425-ФЗ)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собственника (владельца) транспортного средства в размере четырехсот тысяч рублей.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03.04.2023 N 103-ФЗ)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Нарушение правил движения тяжеловесных и (или) крупногабаритных транспортных средств, за исключением случаев, предусмотренных </w:t>
      </w:r>
      <w:hyperlink w:anchor="Par10" w:history="1">
        <w:r>
          <w:rPr>
            <w:rFonts w:ascii="Arial" w:hAnsi="Arial" w:cs="Arial"/>
            <w:color w:val="0000FF"/>
            <w:sz w:val="20"/>
            <w:szCs w:val="20"/>
          </w:rPr>
          <w:t>частями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водителя транспортного средства в размере от одной тысячи до одной тысячи пятисот рублей; на должностных лиц, ответственных за перевозку, - от пяти тысяч до десяти тысяч рублей; на юридических лиц - от пятидесяти тысяч до ста тысяч рублей.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 xml:space="preserve">Предоставление грузоотправителем недостоверных сведений о массе или габаритах груза в документах на перевозимый груз либо </w:t>
      </w:r>
      <w:proofErr w:type="spellStart"/>
      <w:r>
        <w:rPr>
          <w:rFonts w:ascii="Arial" w:hAnsi="Arial" w:cs="Arial"/>
          <w:sz w:val="20"/>
          <w:szCs w:val="20"/>
        </w:rPr>
        <w:t>неуказание</w:t>
      </w:r>
      <w:proofErr w:type="spellEnd"/>
      <w:r>
        <w:rPr>
          <w:rFonts w:ascii="Arial" w:hAnsi="Arial" w:cs="Arial"/>
          <w:sz w:val="20"/>
          <w:szCs w:val="20"/>
        </w:rPr>
        <w:t xml:space="preserve">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груза, если это повлекло нарушение, предусмотренное </w:t>
      </w:r>
      <w:hyperlink w:anchor="Par10" w:history="1">
        <w:r>
          <w:rPr>
            <w:rFonts w:ascii="Arial" w:hAnsi="Arial" w:cs="Arial"/>
            <w:color w:val="0000FF"/>
            <w:sz w:val="20"/>
            <w:szCs w:val="20"/>
          </w:rPr>
          <w:t>частью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4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  <w:proofErr w:type="gramEnd"/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от одной тысячи пятисот до двух тысяч рублей; на должностных лиц - от пятнадцати тысяч до двадцати тысяч рублей; на юридических лиц - от двухсот тысяч до трехсот тысяч рублей.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Предоставление грузоотправителем недостоверных сведений о массе или габаритах груза в документах на перевозимый груз либо </w:t>
      </w:r>
      <w:proofErr w:type="spellStart"/>
      <w:r>
        <w:rPr>
          <w:rFonts w:ascii="Arial" w:hAnsi="Arial" w:cs="Arial"/>
          <w:sz w:val="20"/>
          <w:szCs w:val="20"/>
        </w:rPr>
        <w:t>неуказание</w:t>
      </w:r>
      <w:proofErr w:type="spellEnd"/>
      <w:r>
        <w:rPr>
          <w:rFonts w:ascii="Arial" w:hAnsi="Arial" w:cs="Arial"/>
          <w:sz w:val="20"/>
          <w:szCs w:val="20"/>
        </w:rPr>
        <w:t xml:space="preserve">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груза, если это повлекло нарушение, предусмотренное 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частью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6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или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граждан в размере пяти тысяч рублей; на должностных лиц - от двадцати пяти тысяч до тридцати пяти тысяч рублей; на юридических лиц - от трехсот пятидесяти тысяч до четырехсот тысяч рублей.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 Превышение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разрешении, юридическими лицами или индивидуальными предпринимателями, осуществившими погрузку груза в транспортное средство, -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индивидуальных предпринимателей в размере от восьмидесяти тысяч до ста тысяч рублей; на юридических лиц - от двухсот пятидесяти тысяч до четырехсот тысяч рублей.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 xml:space="preserve">Несоблюдение требований, предписанных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дорожными знаками</w:t>
        </w:r>
      </w:hyperlink>
      <w:r>
        <w:rPr>
          <w:rFonts w:ascii="Arial" w:hAnsi="Arial" w:cs="Arial"/>
          <w:sz w:val="20"/>
          <w:szCs w:val="20"/>
        </w:rPr>
        <w:t>, запрещающими движение транспортных средств, общая фактическая масса которых либо нагрузка на ось которых превышает указанные на дорожном знаке, если движение таких транспортных средств осуществляется без специального разрешения, -</w:t>
      </w:r>
      <w:proofErr w:type="gramEnd"/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в размере пяти тысяч рублей.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Примечания: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Административная ответственность, предусмотренная </w:t>
      </w:r>
      <w:hyperlink w:anchor="Par10" w:history="1">
        <w:r>
          <w:rPr>
            <w:rFonts w:ascii="Arial" w:hAnsi="Arial" w:cs="Arial"/>
            <w:color w:val="0000FF"/>
            <w:sz w:val="20"/>
            <w:szCs w:val="20"/>
          </w:rPr>
          <w:t>частью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не наступает в случае, если административное правонарушение зафиксировано работающими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автоматическом режиме</w:t>
        </w:r>
      </w:hyperlink>
      <w:r>
        <w:rPr>
          <w:rFonts w:ascii="Arial" w:hAnsi="Arial" w:cs="Arial"/>
          <w:sz w:val="20"/>
          <w:szCs w:val="20"/>
        </w:rPr>
        <w:t xml:space="preserve">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римечания в ред. Федерального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28.02.2023 N 48-ФЗ)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323C" w:rsidRDefault="00B5323C" w:rsidP="00B5323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12.21.2. Нарушение правил перевозки опасных грузов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введена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24.07.2007 N 210-ФЗ)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53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 пресечении нарушений, предусмотренных ч. 1 ст. 12.21.2, применяется </w:t>
            </w:r>
            <w:hyperlink r:id="rId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задержание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ТС.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23C" w:rsidRDefault="00B5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5323C" w:rsidRDefault="00B5323C" w:rsidP="00B5323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54"/>
      <w:bookmarkEnd w:id="7"/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Перевозка опасных грузов водителем, не имеющим свидетельства о подготовке водителей транспортных средств, перевозящих опасные грузы, свидетельства о допуске транспортного средства к перевозке опасных грузов, специального разрешения или аварийной карточки системы информации об опасности, предусмотренных правилами перевозки опасных грузов, а равно перевозка опасных грузов на транспортном средстве, конструкция которого не соответствует требованиям правил перевозки опасных грузов или на котором отсутствуют элементы</w:t>
      </w:r>
      <w:proofErr w:type="gramEnd"/>
      <w:r>
        <w:rPr>
          <w:rFonts w:ascii="Arial" w:hAnsi="Arial" w:cs="Arial"/>
          <w:sz w:val="20"/>
          <w:szCs w:val="20"/>
        </w:rPr>
        <w:t xml:space="preserve"> системы информации об опасности либо оборудование или средства, применяемые для ликвидации последствий происшествия при перевозке опасных грузов, либо несоблюдение условий перевозки опасных грузов, предусмотренных указанными правилами, -</w:t>
      </w:r>
    </w:p>
    <w:p w:rsidR="00B5323C" w:rsidRDefault="00B5323C" w:rsidP="00B532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08.11.2007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257-ФЗ</w:t>
        </w:r>
      </w:hyperlink>
      <w:r>
        <w:rPr>
          <w:rFonts w:ascii="Arial" w:hAnsi="Arial" w:cs="Arial"/>
          <w:sz w:val="20"/>
          <w:szCs w:val="20"/>
        </w:rPr>
        <w:t xml:space="preserve">, от 13.07.2015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248-ФЗ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месяцев; на должностных лиц, ответственных за перевозку, - от пятнадцати тысяч до двадцати тысяч рублей; на юридических лиц - от четырехсот тысяч до пятисот тысяч рублей.</w:t>
      </w:r>
      <w:proofErr w:type="gramEnd"/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Нарушение правил перевозки опасных грузов, за исключением случаев, предусмотренных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частью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-</w:t>
      </w:r>
    </w:p>
    <w:p w:rsidR="00B5323C" w:rsidRDefault="00B5323C" w:rsidP="00B532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влечет наложение административного штрафа на водителя в размере от одной тысячи до одной тысячи пятисот рублей; на должностных лиц, ответственных за перевозку, - от пяти тысяч до десяти тысяч рублей; на юридических лиц - от ста пятидесяти тысяч до двухсот пятидесяти тысяч рублей.</w:t>
      </w:r>
    </w:p>
    <w:p w:rsidR="002219E0" w:rsidRDefault="002219E0"/>
    <w:sectPr w:rsidR="002219E0" w:rsidSect="008C688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28"/>
    <w:rsid w:val="002219E0"/>
    <w:rsid w:val="007054F4"/>
    <w:rsid w:val="00A01E28"/>
    <w:rsid w:val="00B5323C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RSSP&amp;n=2125" TargetMode="External"/><Relationship Id="rId13" Type="http://schemas.openxmlformats.org/officeDocument/2006/relationships/hyperlink" Target="https://login.consultant.ru/link/?req=doc&amp;base=LAW&amp;n=477373&amp;dst=10541" TargetMode="External"/><Relationship Id="rId18" Type="http://schemas.openxmlformats.org/officeDocument/2006/relationships/hyperlink" Target="https://login.consultant.ru/link/?req=doc&amp;base=LAW&amp;n=477373&amp;dst=10543" TargetMode="External"/><Relationship Id="rId26" Type="http://schemas.openxmlformats.org/officeDocument/2006/relationships/hyperlink" Target="https://login.consultant.ru/link/?req=doc&amp;base=LAW&amp;n=443694&amp;dst=100014" TargetMode="External"/><Relationship Id="rId39" Type="http://schemas.openxmlformats.org/officeDocument/2006/relationships/hyperlink" Target="https://login.consultant.ru/link/?req=doc&amp;base=LAW&amp;n=182643&amp;dst=1001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7373&amp;dst=10545" TargetMode="External"/><Relationship Id="rId34" Type="http://schemas.openxmlformats.org/officeDocument/2006/relationships/hyperlink" Target="https://login.consultant.ru/link/?req=doc&amp;base=LAW&amp;n=327611&amp;dst=100141" TargetMode="External"/><Relationship Id="rId7" Type="http://schemas.openxmlformats.org/officeDocument/2006/relationships/hyperlink" Target="https://login.consultant.ru/link/?req=doc&amp;base=PRSSP&amp;n=2127" TargetMode="External"/><Relationship Id="rId12" Type="http://schemas.openxmlformats.org/officeDocument/2006/relationships/hyperlink" Target="https://login.consultant.ru/link/?req=doc&amp;base=LAW&amp;n=463407&amp;dst=100044" TargetMode="External"/><Relationship Id="rId17" Type="http://schemas.openxmlformats.org/officeDocument/2006/relationships/hyperlink" Target="https://login.consultant.ru/link/?req=doc&amp;base=LAW&amp;n=461843&amp;dst=78" TargetMode="External"/><Relationship Id="rId25" Type="http://schemas.openxmlformats.org/officeDocument/2006/relationships/hyperlink" Target="https://login.consultant.ru/link/?req=doc&amp;base=LAW&amp;n=453871&amp;dst=100015" TargetMode="External"/><Relationship Id="rId33" Type="http://schemas.openxmlformats.org/officeDocument/2006/relationships/hyperlink" Target="https://login.consultant.ru/link/?req=doc&amp;base=LAW&amp;n=475029&amp;dst=100524" TargetMode="External"/><Relationship Id="rId38" Type="http://schemas.openxmlformats.org/officeDocument/2006/relationships/hyperlink" Target="https://login.consultant.ru/link/?req=doc&amp;base=LAW&amp;n=461843&amp;dst=1005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0552&amp;dst=100009" TargetMode="External"/><Relationship Id="rId20" Type="http://schemas.openxmlformats.org/officeDocument/2006/relationships/hyperlink" Target="https://login.consultant.ru/link/?req=doc&amp;base=LAW&amp;n=443694&amp;dst=100010" TargetMode="External"/><Relationship Id="rId29" Type="http://schemas.openxmlformats.org/officeDocument/2006/relationships/hyperlink" Target="https://login.consultant.ru/link/?req=doc&amp;base=LAW&amp;n=443694&amp;dst=10001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RSSP&amp;n=2126" TargetMode="External"/><Relationship Id="rId11" Type="http://schemas.openxmlformats.org/officeDocument/2006/relationships/hyperlink" Target="https://login.consultant.ru/link/?req=doc&amp;base=LAW&amp;n=461843&amp;dst=79" TargetMode="External"/><Relationship Id="rId24" Type="http://schemas.openxmlformats.org/officeDocument/2006/relationships/hyperlink" Target="https://login.consultant.ru/link/?req=doc&amp;base=LAW&amp;n=477373&amp;dst=10543" TargetMode="External"/><Relationship Id="rId32" Type="http://schemas.openxmlformats.org/officeDocument/2006/relationships/hyperlink" Target="https://login.consultant.ru/link/?req=doc&amp;base=LAW&amp;n=443694&amp;dst=100018" TargetMode="External"/><Relationship Id="rId37" Type="http://schemas.openxmlformats.org/officeDocument/2006/relationships/hyperlink" Target="https://login.consultant.ru/link/?req=doc&amp;base=LAW&amp;n=477373&amp;dst=809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82643&amp;dst=100077" TargetMode="External"/><Relationship Id="rId15" Type="http://schemas.openxmlformats.org/officeDocument/2006/relationships/hyperlink" Target="https://login.consultant.ru/link/?req=doc&amp;base=LAW&amp;n=453871&amp;dst=100012" TargetMode="External"/><Relationship Id="rId23" Type="http://schemas.openxmlformats.org/officeDocument/2006/relationships/hyperlink" Target="https://login.consultant.ru/link/?req=doc&amp;base=LAW&amp;n=443694&amp;dst=100012" TargetMode="External"/><Relationship Id="rId28" Type="http://schemas.openxmlformats.org/officeDocument/2006/relationships/hyperlink" Target="https://login.consultant.ru/link/?req=doc&amp;base=LAW&amp;n=453871&amp;dst=100016" TargetMode="External"/><Relationship Id="rId36" Type="http://schemas.openxmlformats.org/officeDocument/2006/relationships/hyperlink" Target="https://login.consultant.ru/link/?req=doc&amp;base=LAW&amp;n=173867&amp;dst=100106" TargetMode="External"/><Relationship Id="rId10" Type="http://schemas.openxmlformats.org/officeDocument/2006/relationships/hyperlink" Target="https://login.consultant.ru/link/?req=doc&amp;base=LAW&amp;n=477373&amp;dst=8097" TargetMode="External"/><Relationship Id="rId19" Type="http://schemas.openxmlformats.org/officeDocument/2006/relationships/hyperlink" Target="https://login.consultant.ru/link/?req=doc&amp;base=LAW&amp;n=453871&amp;dst=100013" TargetMode="External"/><Relationship Id="rId31" Type="http://schemas.openxmlformats.org/officeDocument/2006/relationships/hyperlink" Target="https://login.consultant.ru/link/?req=doc&amp;base=LAW&amp;n=453871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RSSP&amp;n=2124" TargetMode="External"/><Relationship Id="rId14" Type="http://schemas.openxmlformats.org/officeDocument/2006/relationships/hyperlink" Target="https://login.consultant.ru/link/?req=doc&amp;base=LAW&amp;n=419077&amp;dst=100010" TargetMode="External"/><Relationship Id="rId22" Type="http://schemas.openxmlformats.org/officeDocument/2006/relationships/hyperlink" Target="https://login.consultant.ru/link/?req=doc&amp;base=LAW&amp;n=453871&amp;dst=100014" TargetMode="External"/><Relationship Id="rId27" Type="http://schemas.openxmlformats.org/officeDocument/2006/relationships/hyperlink" Target="https://login.consultant.ru/link/?req=doc&amp;base=LAW&amp;n=477373&amp;dst=10545" TargetMode="External"/><Relationship Id="rId30" Type="http://schemas.openxmlformats.org/officeDocument/2006/relationships/hyperlink" Target="https://login.consultant.ru/link/?req=doc&amp;base=LAW&amp;n=477373&amp;dst=10547" TargetMode="External"/><Relationship Id="rId35" Type="http://schemas.openxmlformats.org/officeDocument/2006/relationships/hyperlink" Target="https://login.consultant.ru/link/?req=doc&amp;base=LAW&amp;n=440552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Кормушкина Татьяна Николаевна</dc:creator>
  <cp:keywords/>
  <dc:description/>
  <cp:lastModifiedBy>Кормушкина Татьяна Николаевна</cp:lastModifiedBy>
  <cp:revision>5</cp:revision>
  <dcterms:created xsi:type="dcterms:W3CDTF">2024-06-14T11:05:00Z</dcterms:created>
  <dcterms:modified xsi:type="dcterms:W3CDTF">2024-06-14T11:06:00Z</dcterms:modified>
</cp:coreProperties>
</file>