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Pr="00492E87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492E87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>«_____» _________________ 201</w:t>
            </w:r>
            <w:r w:rsidR="00492E87">
              <w:rPr>
                <w:sz w:val="24"/>
              </w:rPr>
              <w:t>9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234236" w:rsidRDefault="009F54FF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 xml:space="preserve">по проведению открытого конкурса на право </w:t>
      </w:r>
      <w:r w:rsidR="001D2716">
        <w:rPr>
          <w:rFonts w:eastAsiaTheme="minorHAnsi"/>
          <w:sz w:val="28"/>
          <w:szCs w:val="28"/>
          <w:lang w:eastAsia="en-US"/>
        </w:rPr>
        <w:t>получени</w:t>
      </w:r>
      <w:r w:rsidR="00234236">
        <w:rPr>
          <w:rFonts w:eastAsiaTheme="minorHAnsi"/>
          <w:sz w:val="28"/>
          <w:szCs w:val="28"/>
          <w:lang w:eastAsia="en-US"/>
        </w:rPr>
        <w:t>я</w:t>
      </w:r>
      <w:r w:rsidR="001D2716">
        <w:rPr>
          <w:rFonts w:eastAsiaTheme="minorHAnsi"/>
          <w:sz w:val="28"/>
          <w:szCs w:val="28"/>
          <w:lang w:eastAsia="en-US"/>
        </w:rPr>
        <w:t xml:space="preserve"> свидетельств об осуществлении перевозок </w:t>
      </w:r>
      <w:r w:rsidRPr="009F54FF">
        <w:rPr>
          <w:sz w:val="28"/>
          <w:szCs w:val="28"/>
        </w:rPr>
        <w:t>по</w:t>
      </w:r>
      <w:r w:rsidR="00C8082B">
        <w:rPr>
          <w:sz w:val="28"/>
          <w:szCs w:val="28"/>
        </w:rPr>
        <w:t xml:space="preserve"> </w:t>
      </w:r>
      <w:r w:rsidRPr="009F54FF">
        <w:rPr>
          <w:sz w:val="28"/>
          <w:szCs w:val="28"/>
        </w:rPr>
        <w:t>межмуниципальн</w:t>
      </w:r>
      <w:r w:rsidR="007E606E">
        <w:rPr>
          <w:sz w:val="28"/>
          <w:szCs w:val="28"/>
        </w:rPr>
        <w:t>ому</w:t>
      </w:r>
      <w:r w:rsidR="001D2716">
        <w:rPr>
          <w:sz w:val="28"/>
          <w:szCs w:val="28"/>
        </w:rPr>
        <w:t xml:space="preserve"> </w:t>
      </w:r>
      <w:r w:rsidR="00EC5230">
        <w:rPr>
          <w:sz w:val="28"/>
          <w:szCs w:val="28"/>
        </w:rPr>
        <w:t>маршрут</w:t>
      </w:r>
      <w:r w:rsidR="007E606E">
        <w:rPr>
          <w:sz w:val="28"/>
          <w:szCs w:val="28"/>
        </w:rPr>
        <w:t>у</w:t>
      </w:r>
      <w:r w:rsidR="00087A35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регулярных перевозок пассажиров и багажа автомобильным  транспортом</w:t>
      </w:r>
    </w:p>
    <w:p w:rsidR="00901F5E" w:rsidRDefault="0023423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>на территории Ивановской области</w:t>
      </w:r>
    </w:p>
    <w:p w:rsidR="00941A90" w:rsidRPr="00941A90" w:rsidRDefault="00941A90" w:rsidP="00941A90">
      <w:pPr>
        <w:jc w:val="center"/>
        <w:rPr>
          <w:sz w:val="28"/>
          <w:szCs w:val="28"/>
        </w:rPr>
      </w:pPr>
      <w:r w:rsidRPr="00941A90">
        <w:rPr>
          <w:sz w:val="28"/>
          <w:szCs w:val="28"/>
        </w:rPr>
        <w:t>№ 534 «п. Колшево, Заволжский район –  г. Кинешма, автостанция»</w:t>
      </w:r>
    </w:p>
    <w:p w:rsidR="00941A90" w:rsidRPr="00023694" w:rsidRDefault="00941A90" w:rsidP="00941A90">
      <w:pPr>
        <w:pStyle w:val="2"/>
        <w:rPr>
          <w:rFonts w:ascii="Times New Roman" w:hAnsi="Times New Roman"/>
          <w:sz w:val="24"/>
        </w:rPr>
      </w:pPr>
    </w:p>
    <w:p w:rsidR="001D2716" w:rsidRPr="00234236" w:rsidRDefault="001D271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A36B15">
      <w:pPr>
        <w:shd w:val="clear" w:color="auto" w:fill="FFFFFF" w:themeFill="background1"/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>ИВАНОВО 201</w:t>
      </w:r>
      <w:r w:rsidR="00492E87">
        <w:rPr>
          <w:b/>
          <w:sz w:val="24"/>
        </w:rPr>
        <w:t>9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480838" w:rsidRPr="001821B4" w:rsidRDefault="001821B4" w:rsidP="00735E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   Предмет  открытого  конкурса - </w:t>
      </w:r>
      <w:r w:rsidR="00305FD3" w:rsidRPr="001821B4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получение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свидетельств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об осуществлении перевозок по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межмуниципальн</w:t>
      </w:r>
      <w:r w:rsidR="007E606E">
        <w:rPr>
          <w:sz w:val="24"/>
          <w:szCs w:val="24"/>
        </w:rPr>
        <w:t>ому</w:t>
      </w:r>
      <w:r w:rsidR="00305FD3" w:rsidRPr="001821B4">
        <w:rPr>
          <w:sz w:val="24"/>
          <w:szCs w:val="24"/>
        </w:rPr>
        <w:t xml:space="preserve"> маршрут</w:t>
      </w:r>
      <w:r w:rsidR="007E606E">
        <w:rPr>
          <w:sz w:val="24"/>
          <w:szCs w:val="24"/>
        </w:rPr>
        <w:t>у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регулярных перевозок</w:t>
      </w:r>
      <w:r w:rsidR="00DA16A0">
        <w:rPr>
          <w:sz w:val="24"/>
          <w:szCs w:val="24"/>
        </w:rPr>
        <w:t xml:space="preserve"> </w:t>
      </w:r>
      <w:r w:rsidR="00C8082B">
        <w:rPr>
          <w:sz w:val="24"/>
          <w:szCs w:val="24"/>
        </w:rPr>
        <w:t xml:space="preserve">пассажиров и </w:t>
      </w:r>
      <w:r w:rsidRPr="001821B4">
        <w:rPr>
          <w:sz w:val="24"/>
          <w:szCs w:val="24"/>
        </w:rPr>
        <w:t xml:space="preserve"> багажа  автомобильным транспортом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 </w:t>
      </w:r>
      <w:r w:rsidRPr="001821B4">
        <w:rPr>
          <w:sz w:val="24"/>
          <w:szCs w:val="24"/>
        </w:rPr>
        <w:t>Ивановской области</w:t>
      </w:r>
      <w:r w:rsidR="001D271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свидетельство)</w:t>
      </w:r>
      <w:r w:rsidR="00234236" w:rsidRPr="001821B4">
        <w:rPr>
          <w:sz w:val="24"/>
          <w:szCs w:val="24"/>
        </w:rPr>
        <w:t xml:space="preserve"> </w:t>
      </w:r>
      <w:r w:rsidR="001D2716">
        <w:rPr>
          <w:sz w:val="24"/>
          <w:szCs w:val="24"/>
        </w:rPr>
        <w:t>сроком на 5 лет.</w:t>
      </w:r>
    </w:p>
    <w:p w:rsidR="00FA044F" w:rsidRPr="00C8082B" w:rsidRDefault="00FA044F" w:rsidP="00FA044F">
      <w:pPr>
        <w:pStyle w:val="ConsPlusNormal"/>
        <w:ind w:firstLine="540"/>
        <w:jc w:val="both"/>
        <w:rPr>
          <w:szCs w:val="24"/>
        </w:rPr>
      </w:pPr>
      <w:r w:rsidRPr="00C8082B">
        <w:rPr>
          <w:szCs w:val="24"/>
        </w:rPr>
        <w:t>Лот №</w:t>
      </w:r>
      <w:r w:rsidR="00EC5230" w:rsidRPr="00C8082B">
        <w:rPr>
          <w:szCs w:val="24"/>
        </w:rPr>
        <w:t xml:space="preserve">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5953"/>
      </w:tblGrid>
      <w:tr w:rsidR="00492E87" w:rsidRPr="00492E87" w:rsidTr="00C96A0A">
        <w:tc>
          <w:tcPr>
            <w:tcW w:w="4253" w:type="dxa"/>
            <w:gridSpan w:val="2"/>
            <w:shd w:val="clear" w:color="auto" w:fill="auto"/>
          </w:tcPr>
          <w:p w:rsidR="00132792" w:rsidRPr="00492E87" w:rsidRDefault="00132792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5953" w:type="dxa"/>
            <w:shd w:val="clear" w:color="auto" w:fill="auto"/>
          </w:tcPr>
          <w:p w:rsidR="00132792" w:rsidRPr="00BE6903" w:rsidRDefault="00941A90" w:rsidP="00941A90">
            <w:pPr>
              <w:jc w:val="center"/>
              <w:rPr>
                <w:color w:val="000000"/>
                <w:sz w:val="16"/>
                <w:szCs w:val="16"/>
              </w:rPr>
            </w:pPr>
            <w:r w:rsidRPr="006841B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534</w:t>
            </w:r>
            <w:r w:rsidRPr="006841BF">
              <w:rPr>
                <w:sz w:val="24"/>
                <w:szCs w:val="24"/>
              </w:rPr>
              <w:t xml:space="preserve"> «</w:t>
            </w:r>
            <w:r w:rsidRPr="001470AB">
              <w:rPr>
                <w:sz w:val="24"/>
                <w:szCs w:val="24"/>
              </w:rPr>
              <w:t>п. Колшево, Заволжский район –  г. Кинешма, автостанция</w:t>
            </w:r>
            <w:r w:rsidRPr="006841BF">
              <w:rPr>
                <w:sz w:val="24"/>
                <w:szCs w:val="24"/>
              </w:rPr>
              <w:t>»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5953" w:type="dxa"/>
            <w:shd w:val="clear" w:color="auto" w:fill="auto"/>
          </w:tcPr>
          <w:p w:rsidR="00346FFC" w:rsidRDefault="00346FFC" w:rsidP="00346FFC">
            <w:pPr>
              <w:ind w:left="-108" w:firstLine="108"/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 xml:space="preserve">№: </w:t>
            </w:r>
            <w:r>
              <w:rPr>
                <w:sz w:val="24"/>
                <w:szCs w:val="24"/>
              </w:rPr>
              <w:t xml:space="preserve">1 </w:t>
            </w:r>
          </w:p>
          <w:p w:rsidR="00346FFC" w:rsidRPr="00DC7877" w:rsidRDefault="00346FFC" w:rsidP="00346FFC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r w:rsidRPr="00DC7877">
              <w:rPr>
                <w:sz w:val="24"/>
                <w:szCs w:val="24"/>
              </w:rPr>
              <w:t>согласно утвержденного расписания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953" w:type="dxa"/>
            <w:shd w:val="clear" w:color="auto" w:fill="auto"/>
          </w:tcPr>
          <w:p w:rsidR="00346FFC" w:rsidRPr="005D5095" w:rsidRDefault="00C829BE" w:rsidP="004B07E5">
            <w:pPr>
              <w:jc w:val="both"/>
              <w:rPr>
                <w:sz w:val="24"/>
                <w:szCs w:val="24"/>
              </w:rPr>
            </w:pPr>
            <w:r w:rsidRPr="00E80983">
              <w:rPr>
                <w:sz w:val="24"/>
                <w:szCs w:val="24"/>
              </w:rPr>
              <w:t>Кинешма: Лесозавод,</w:t>
            </w:r>
            <w:r>
              <w:rPr>
                <w:sz w:val="24"/>
                <w:szCs w:val="24"/>
              </w:rPr>
              <w:t xml:space="preserve"> </w:t>
            </w:r>
            <w:r w:rsidRPr="00E80983">
              <w:rPr>
                <w:sz w:val="24"/>
                <w:szCs w:val="24"/>
              </w:rPr>
              <w:t>ул. Гагарина, ул. Желябова,</w:t>
            </w:r>
            <w:r>
              <w:rPr>
                <w:sz w:val="24"/>
                <w:szCs w:val="24"/>
              </w:rPr>
              <w:t xml:space="preserve"> </w:t>
            </w:r>
            <w:r w:rsidRPr="00E80983">
              <w:rPr>
                <w:sz w:val="24"/>
                <w:szCs w:val="24"/>
              </w:rPr>
              <w:t>Анил</w:t>
            </w:r>
            <w:r>
              <w:rPr>
                <w:sz w:val="24"/>
                <w:szCs w:val="24"/>
              </w:rPr>
              <w:t>-</w:t>
            </w:r>
            <w:r w:rsidRPr="00E80983">
              <w:rPr>
                <w:sz w:val="24"/>
                <w:szCs w:val="24"/>
              </w:rPr>
              <w:t>площадка, пов. Первомайский,  д. Порозово, Заволжск: ДРСУ, Поликлиника,</w:t>
            </w:r>
            <w:r>
              <w:rPr>
                <w:sz w:val="24"/>
                <w:szCs w:val="24"/>
              </w:rPr>
              <w:t xml:space="preserve"> </w:t>
            </w:r>
            <w:r w:rsidRPr="00E80983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П</w:t>
            </w:r>
            <w:r w:rsidRPr="00E80983">
              <w:rPr>
                <w:sz w:val="24"/>
                <w:szCs w:val="24"/>
              </w:rPr>
              <w:t>арковая, военкомат, Дом быта д. Емельяново, д.</w:t>
            </w:r>
            <w:r>
              <w:rPr>
                <w:sz w:val="24"/>
                <w:szCs w:val="24"/>
              </w:rPr>
              <w:t xml:space="preserve"> </w:t>
            </w:r>
            <w:r w:rsidRPr="00E80983">
              <w:rPr>
                <w:sz w:val="24"/>
                <w:szCs w:val="24"/>
              </w:rPr>
              <w:t>Быково, д.</w:t>
            </w:r>
            <w:r>
              <w:rPr>
                <w:sz w:val="24"/>
                <w:szCs w:val="24"/>
              </w:rPr>
              <w:t xml:space="preserve"> </w:t>
            </w:r>
            <w:r w:rsidRPr="00E80983">
              <w:rPr>
                <w:sz w:val="24"/>
                <w:szCs w:val="24"/>
              </w:rPr>
              <w:t>Лобанцево, д. Посулово, д.</w:t>
            </w:r>
            <w:r>
              <w:rPr>
                <w:sz w:val="24"/>
                <w:szCs w:val="24"/>
              </w:rPr>
              <w:t xml:space="preserve"> </w:t>
            </w:r>
            <w:r w:rsidRPr="00E80983">
              <w:rPr>
                <w:sz w:val="24"/>
                <w:szCs w:val="24"/>
              </w:rPr>
              <w:t>Вьюшково, д.</w:t>
            </w:r>
            <w:r>
              <w:rPr>
                <w:sz w:val="24"/>
                <w:szCs w:val="24"/>
              </w:rPr>
              <w:t xml:space="preserve"> </w:t>
            </w:r>
            <w:r w:rsidRPr="00E80983">
              <w:rPr>
                <w:sz w:val="24"/>
                <w:szCs w:val="24"/>
              </w:rPr>
              <w:t>Чуприяново, д. Кистега, д. Дмитровское, д. Аверино, д.Князево, с. Колшево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53" w:type="dxa"/>
            <w:shd w:val="clear" w:color="auto" w:fill="auto"/>
          </w:tcPr>
          <w:p w:rsidR="00346FFC" w:rsidRPr="005D5095" w:rsidRDefault="00941A90" w:rsidP="005D712D">
            <w:pPr>
              <w:jc w:val="both"/>
              <w:rPr>
                <w:sz w:val="24"/>
                <w:szCs w:val="24"/>
              </w:rPr>
            </w:pPr>
            <w:r w:rsidRPr="00941A90">
              <w:rPr>
                <w:sz w:val="24"/>
                <w:szCs w:val="24"/>
              </w:rPr>
              <w:t>Кинешма: ул.</w:t>
            </w:r>
            <w:r>
              <w:rPr>
                <w:sz w:val="24"/>
                <w:szCs w:val="24"/>
              </w:rPr>
              <w:t xml:space="preserve"> Островского, ул. Вичуг</w:t>
            </w:r>
            <w:r w:rsidRPr="00941A90">
              <w:rPr>
                <w:sz w:val="24"/>
                <w:szCs w:val="24"/>
              </w:rPr>
              <w:t xml:space="preserve">ская, </w:t>
            </w:r>
            <w:r>
              <w:rPr>
                <w:sz w:val="24"/>
                <w:szCs w:val="24"/>
              </w:rPr>
              <w:t>ул.50 лет Комсомола, ул. Красно</w:t>
            </w:r>
            <w:r w:rsidRPr="00941A90">
              <w:rPr>
                <w:sz w:val="24"/>
                <w:szCs w:val="24"/>
              </w:rPr>
              <w:t>веткин</w:t>
            </w:r>
            <w:r>
              <w:rPr>
                <w:sz w:val="24"/>
                <w:szCs w:val="24"/>
              </w:rPr>
              <w:t>ская, ул. Желябова, ул. Наволок</w:t>
            </w:r>
            <w:r w:rsidRPr="00941A90">
              <w:rPr>
                <w:sz w:val="24"/>
                <w:szCs w:val="24"/>
              </w:rPr>
              <w:t>ска а/д «Мостовой переход через реку Волга»   а/д «Заволжск-Кострома» Заволжск: ул. Мира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346FFC" w:rsidP="003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</w:t>
            </w:r>
            <w:r w:rsidRPr="00023694">
              <w:rPr>
                <w:sz w:val="24"/>
                <w:szCs w:val="24"/>
              </w:rPr>
              <w:t xml:space="preserve"> установленных </w:t>
            </w:r>
            <w:r>
              <w:rPr>
                <w:sz w:val="24"/>
                <w:szCs w:val="24"/>
              </w:rPr>
              <w:t>остановках общественного транспорта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A37F70" w:rsidP="00A37F70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346FFC" w:rsidRPr="00023694" w:rsidTr="00C96A0A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5953" w:type="dxa"/>
            <w:shd w:val="clear" w:color="auto" w:fill="auto"/>
          </w:tcPr>
          <w:p w:rsidR="00346FFC" w:rsidRPr="00DC7877" w:rsidRDefault="00A37F70" w:rsidP="0013279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346FFC" w:rsidRPr="00023694" w:rsidTr="00C96A0A">
        <w:tc>
          <w:tcPr>
            <w:tcW w:w="2268" w:type="dxa"/>
            <w:vMerge w:val="restart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Автобус</w:t>
            </w:r>
          </w:p>
        </w:tc>
      </w:tr>
      <w:tr w:rsidR="00346FFC" w:rsidRPr="00023694" w:rsidTr="00C96A0A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BE6903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</w:p>
        </w:tc>
        <w:tc>
          <w:tcPr>
            <w:tcW w:w="5953" w:type="dxa"/>
            <w:shd w:val="clear" w:color="auto" w:fill="auto"/>
          </w:tcPr>
          <w:p w:rsidR="00346FFC" w:rsidRPr="00132792" w:rsidRDefault="005D712D" w:rsidP="00941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«Малый»</w:t>
            </w:r>
            <w:r w:rsidR="00941A90">
              <w:rPr>
                <w:sz w:val="24"/>
                <w:szCs w:val="24"/>
              </w:rPr>
              <w:t xml:space="preserve"> </w:t>
            </w:r>
          </w:p>
        </w:tc>
      </w:tr>
      <w:tr w:rsidR="00346FFC" w:rsidRPr="00023694" w:rsidTr="00C96A0A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941A90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6FFC" w:rsidRPr="00023694" w:rsidTr="00C96A0A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953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Куконковых, д.139, эл. почта – </w:t>
      </w:r>
      <w:r w:rsidR="001D531C" w:rsidRPr="001D531C">
        <w:rPr>
          <w:sz w:val="24"/>
          <w:szCs w:val="24"/>
          <w:u w:val="single"/>
          <w:lang w:val="en-US"/>
        </w:rPr>
        <w:t>doroga</w:t>
      </w:r>
      <w:r w:rsidR="001D531C" w:rsidRPr="00A36B15">
        <w:rPr>
          <w:sz w:val="24"/>
          <w:szCs w:val="24"/>
          <w:u w:val="single"/>
        </w:rPr>
        <w:t>@</w:t>
      </w:r>
      <w:r w:rsidR="001D531C" w:rsidRPr="001D531C">
        <w:rPr>
          <w:sz w:val="24"/>
          <w:szCs w:val="24"/>
          <w:u w:val="single"/>
          <w:lang w:val="en-US"/>
        </w:rPr>
        <w:t>ivavtodor</w:t>
      </w:r>
      <w:r w:rsidR="001D531C" w:rsidRPr="00A36B15">
        <w:rPr>
          <w:sz w:val="24"/>
          <w:szCs w:val="24"/>
          <w:u w:val="single"/>
        </w:rPr>
        <w:t>.</w:t>
      </w:r>
      <w:r w:rsidR="001D531C" w:rsidRPr="001D531C">
        <w:rPr>
          <w:sz w:val="24"/>
          <w:szCs w:val="24"/>
          <w:u w:val="single"/>
          <w:lang w:val="en-US"/>
        </w:rPr>
        <w:t>ru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1" w:name="Par3"/>
      <w:bookmarkEnd w:id="1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>3)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4"/>
      <w:bookmarkEnd w:id="2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до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с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В случае,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132B8E" w:rsidRDefault="00132B8E" w:rsidP="009556A2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9556A2">
        <w:rPr>
          <w:rFonts w:eastAsia="Calibri"/>
          <w:szCs w:val="24"/>
          <w:lang w:eastAsia="en-US"/>
        </w:rPr>
        <w:t xml:space="preserve">на территории Ивановской области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p w:rsidR="00DC7877" w:rsidRPr="00023694" w:rsidRDefault="00DC7877" w:rsidP="009556A2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2026"/>
        <w:gridCol w:w="2026"/>
      </w:tblGrid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№ п/п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Критерий</w:t>
            </w:r>
          </w:p>
        </w:tc>
        <w:tc>
          <w:tcPr>
            <w:tcW w:w="2026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 xml:space="preserve">Показатели </w:t>
            </w: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Баллы</w:t>
            </w:r>
          </w:p>
        </w:tc>
      </w:tr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1.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2112B7" w:rsidP="002112B7">
            <w:pPr>
              <w:pStyle w:val="ConsPlusNormal"/>
              <w:ind w:firstLine="540"/>
            </w:pPr>
            <w:r>
              <w:t>Количество до</w:t>
            </w:r>
            <w:r w:rsidR="000D66DF" w:rsidRPr="00023694">
              <w:t>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</w:t>
            </w:r>
            <w:r w:rsidR="00735E90">
              <w:t>е проведения открытого конкурса</w:t>
            </w:r>
          </w:p>
        </w:tc>
        <w:tc>
          <w:tcPr>
            <w:tcW w:w="2026" w:type="dxa"/>
            <w:shd w:val="clear" w:color="auto" w:fill="auto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0,00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735E90" w:rsidP="00735E90">
            <w:pPr>
              <w:pStyle w:val="ConsPlusNormal"/>
              <w:jc w:val="both"/>
            </w:pPr>
            <w:r>
              <w:t xml:space="preserve">     бо</w:t>
            </w:r>
            <w:r w:rsidR="000D66DF">
              <w:t>лее 0,00</w:t>
            </w:r>
          </w:p>
        </w:tc>
        <w:tc>
          <w:tcPr>
            <w:tcW w:w="2026" w:type="dxa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5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0D66DF" w:rsidP="00F248A4">
            <w:pPr>
              <w:pStyle w:val="ConsPlusNormal"/>
              <w:ind w:firstLine="540"/>
              <w:jc w:val="both"/>
            </w:pPr>
            <w:r>
              <w:t>0</w:t>
            </w:r>
          </w:p>
        </w:tc>
      </w:tr>
      <w:tr w:rsidR="000D66DF" w:rsidRPr="00023694" w:rsidTr="009556A2">
        <w:trPr>
          <w:trHeight w:val="375"/>
        </w:trPr>
        <w:tc>
          <w:tcPr>
            <w:tcW w:w="675" w:type="dxa"/>
            <w:vMerge w:val="restart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2.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D66DF" w:rsidRPr="00023694" w:rsidRDefault="000D66DF" w:rsidP="00735E90">
            <w:pPr>
              <w:pStyle w:val="ConsPlusNormal"/>
              <w:jc w:val="both"/>
            </w:pPr>
            <w:r w:rsidRPr="00023694"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исполнением государственных или </w:t>
            </w:r>
            <w:r w:rsidRPr="00023694">
              <w:lastRenderedPageBreak/>
              <w:t>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</w:t>
            </w:r>
            <w:r w:rsidR="00F248A4">
              <w:t>и нормативными правовыми актами</w:t>
            </w: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lastRenderedPageBreak/>
              <w:t xml:space="preserve">до </w:t>
            </w:r>
            <w:r w:rsidR="000D66DF">
              <w:t>1 года</w:t>
            </w:r>
          </w:p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D66DF" w:rsidRPr="00023694" w:rsidTr="009556A2">
        <w:trPr>
          <w:trHeight w:val="64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0D66DF">
              <w:t>т 1 года до 3-х лет</w:t>
            </w:r>
            <w:r w:rsidR="00F248A4">
              <w:t xml:space="preserve">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4</w:t>
            </w:r>
          </w:p>
        </w:tc>
      </w:tr>
      <w:tr w:rsidR="000D66DF" w:rsidRPr="00023694" w:rsidTr="009556A2">
        <w:trPr>
          <w:trHeight w:val="67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4 лет до 7-ми лет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6</w:t>
            </w:r>
          </w:p>
        </w:tc>
      </w:tr>
      <w:tr w:rsidR="00F248A4" w:rsidRPr="00023694" w:rsidTr="009556A2">
        <w:trPr>
          <w:trHeight w:val="1048"/>
        </w:trPr>
        <w:tc>
          <w:tcPr>
            <w:tcW w:w="675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8 лет и более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000181">
        <w:tc>
          <w:tcPr>
            <w:tcW w:w="675" w:type="dxa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 w:rsidRPr="00023694">
              <w:t>3</w:t>
            </w:r>
          </w:p>
        </w:tc>
        <w:tc>
          <w:tcPr>
            <w:tcW w:w="9581" w:type="dxa"/>
            <w:gridSpan w:val="3"/>
            <w:shd w:val="clear" w:color="auto" w:fill="auto"/>
          </w:tcPr>
          <w:p w:rsidR="009556A2" w:rsidRPr="00023694" w:rsidRDefault="00735E90" w:rsidP="00735E90">
            <w:pPr>
              <w:pStyle w:val="ConsPlusNormal"/>
            </w:pPr>
            <w:r>
              <w:t>Влияющие на качество перевозок х</w:t>
            </w:r>
            <w:r w:rsidR="009556A2" w:rsidRPr="00023694">
              <w:t>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>
              <w:t>3.1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Наличие низкого пола в транспортном средстве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 w:rsidRPr="00023694">
              <w:t>3.</w:t>
            </w:r>
            <w:r>
              <w:t>2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rPr>
          <w:trHeight w:val="630"/>
        </w:trPr>
        <w:tc>
          <w:tcPr>
            <w:tcW w:w="675" w:type="dxa"/>
            <w:vMerge w:val="restart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 w:rsidRPr="00023694">
              <w:t>3.</w:t>
            </w:r>
            <w:r>
              <w:t>3</w:t>
            </w:r>
            <w:r w:rsidRPr="00023694">
              <w:t>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656FA" w:rsidRPr="00023694" w:rsidRDefault="000656FA" w:rsidP="00735E90">
            <w:pPr>
              <w:pStyle w:val="ConsPlusNormal"/>
              <w:jc w:val="both"/>
            </w:pPr>
            <w:r w:rsidRPr="00023694">
              <w:t>Общая вместимость транспортн</w:t>
            </w:r>
            <w:r w:rsidR="00735E90">
              <w:t xml:space="preserve">ого </w:t>
            </w:r>
            <w:r w:rsidRPr="00023694">
              <w:t>средств</w:t>
            </w:r>
            <w:r w:rsidR="00735E90">
              <w:t>а</w:t>
            </w:r>
            <w:r w:rsidRPr="00023694"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:rsidR="000656FA" w:rsidRPr="00023694" w:rsidRDefault="00735E90" w:rsidP="00735E90">
            <w:pPr>
              <w:pStyle w:val="ConsPlusNormal"/>
              <w:jc w:val="center"/>
            </w:pPr>
            <w:r>
              <w:t>о</w:t>
            </w:r>
            <w:r w:rsidR="000656FA">
              <w:t>т 10 до 15 мест (включительно)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656FA" w:rsidRPr="00023694" w:rsidTr="009556A2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656FA" w:rsidRPr="000656FA" w:rsidRDefault="000656FA" w:rsidP="00F248A4">
            <w:pPr>
              <w:pStyle w:val="ConsPlusNormal"/>
              <w:jc w:val="center"/>
            </w:pPr>
            <w:r>
              <w:t>от 16 до 29</w:t>
            </w:r>
            <w:r w:rsidRPr="000656FA">
              <w:t xml:space="preserve"> мест (включительно)</w:t>
            </w:r>
          </w:p>
        </w:tc>
        <w:tc>
          <w:tcPr>
            <w:tcW w:w="2026" w:type="dxa"/>
          </w:tcPr>
          <w:p w:rsidR="000656FA" w:rsidRDefault="000656FA" w:rsidP="00F248A4">
            <w:pPr>
              <w:pStyle w:val="ConsPlusNormal"/>
              <w:jc w:val="center"/>
            </w:pPr>
            <w:r>
              <w:t>9</w:t>
            </w:r>
          </w:p>
        </w:tc>
      </w:tr>
      <w:tr w:rsidR="000656FA" w:rsidRPr="00023694" w:rsidTr="009556A2"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41646" w:rsidRDefault="000656FA" w:rsidP="00F248A4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2026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>
              <w:t>от 30 мест и более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 w:rsidRPr="00023694">
              <w:t>3.</w:t>
            </w:r>
            <w:r>
              <w:t>4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15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3.5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Наличие транспортного средства, работающего на газомоторном топливе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both"/>
            </w:pPr>
            <w: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656FA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735E90" w:rsidP="000656FA">
            <w:pPr>
              <w:pStyle w:val="ConsPlusNormal"/>
              <w:jc w:val="center"/>
            </w:pPr>
            <w:r>
              <w:t>о</w:t>
            </w:r>
            <w:r w:rsidR="000656FA">
              <w:t>тсутствие</w:t>
            </w:r>
          </w:p>
        </w:tc>
        <w:tc>
          <w:tcPr>
            <w:tcW w:w="2026" w:type="dxa"/>
          </w:tcPr>
          <w:p w:rsidR="000656FA" w:rsidRPr="00F40F03" w:rsidRDefault="000656FA" w:rsidP="00F248A4">
            <w:pPr>
              <w:pStyle w:val="ConsPlusNormal"/>
              <w:jc w:val="center"/>
            </w:pPr>
            <w:r w:rsidRPr="00F40F03">
              <w:t>5</w:t>
            </w:r>
          </w:p>
          <w:p w:rsidR="000656FA" w:rsidRPr="00041646" w:rsidRDefault="000656FA" w:rsidP="00F248A4">
            <w:pPr>
              <w:pStyle w:val="ConsPlusNormal"/>
              <w:jc w:val="center"/>
              <w:rPr>
                <w:color w:val="FF0000"/>
              </w:rPr>
            </w:pPr>
            <w:r w:rsidRPr="00F40F03">
              <w:t>0</w:t>
            </w:r>
          </w:p>
        </w:tc>
      </w:tr>
      <w:tr w:rsidR="009556A2" w:rsidRPr="00023694" w:rsidTr="009556A2">
        <w:trPr>
          <w:trHeight w:val="555"/>
        </w:trPr>
        <w:tc>
          <w:tcPr>
            <w:tcW w:w="675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both"/>
            </w:pPr>
            <w:r>
              <w:t>Максимальны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2026" w:type="dxa"/>
            <w:shd w:val="clear" w:color="auto" w:fill="auto"/>
          </w:tcPr>
          <w:p w:rsidR="009556A2" w:rsidRPr="00023694" w:rsidRDefault="00735E90" w:rsidP="009556A2">
            <w:pPr>
              <w:pStyle w:val="ConsPlusNormal"/>
              <w:jc w:val="center"/>
            </w:pPr>
            <w:r>
              <w:t>д</w:t>
            </w:r>
            <w:r w:rsidR="009556A2">
              <w:t>о 3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9556A2">
        <w:trPr>
          <w:trHeight w:val="885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>т 4 до 6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5</w:t>
            </w:r>
          </w:p>
        </w:tc>
      </w:tr>
      <w:tr w:rsidR="009556A2" w:rsidRPr="00023694" w:rsidTr="009556A2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 xml:space="preserve">т 7 лет и более 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2</w:t>
            </w: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32B8E" w:rsidRPr="00023694" w:rsidRDefault="005715C5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(при этом, критерии, которые относятся к каждому из транспортных средств, выставленных на конкурс (пункт 3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калы для оценки критериев), баллы проставляются в отношении каждого из транспортных средств, сумма баллов делится на количество рассматриваемых транспортных средств и выводится средний балл) и впоследствии их суммирует, за исключением баллов критерия, предусмотренного пунктом 1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>калы для оценки критериев, которые вычитаются из общей суммы баллов.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со Шкалой для оценки критериев, указанной в пункте 6.2.1 конкурсной документации. 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>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случае,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</w:p>
    <w:p w:rsidR="005715C5" w:rsidRPr="00023694" w:rsidRDefault="00A714D9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Результаты открытого конкурса после  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    </w:t>
      </w:r>
    </w:p>
    <w:p w:rsidR="00090B80" w:rsidRPr="002112B7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Pr="002112B7">
        <w:rPr>
          <w:sz w:val="24"/>
          <w:szCs w:val="24"/>
        </w:rPr>
        <w:t xml:space="preserve"> </w:t>
      </w:r>
    </w:p>
    <w:p w:rsidR="00090B80" w:rsidRDefault="00090B80" w:rsidP="00090B8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</w:t>
      </w:r>
      <w:r w:rsidRPr="00023694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023694">
        <w:rPr>
          <w:sz w:val="24"/>
          <w:szCs w:val="24"/>
        </w:rPr>
        <w:t xml:space="preserve">.1. 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заявление о выдаче свидетельства и карт маршрута</w:t>
      </w:r>
      <w:r>
        <w:rPr>
          <w:sz w:val="24"/>
          <w:szCs w:val="24"/>
        </w:rPr>
        <w:t xml:space="preserve"> с предъявлением следующих оригиналов документов: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документ, удостоверяющий личность индивидуального предпринимателя или его представителя, представителя юридического лица,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694">
        <w:rPr>
          <w:sz w:val="24"/>
          <w:szCs w:val="24"/>
        </w:rPr>
        <w:t>документ, подтверждающий полномочия представителя индивидуального предпринимателя, представителя юридического лица, уполномоченного представителя договора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лицензия на осуществление перевозок пассажиров автомобильным транспортом;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внесении записи в Единый государственный реестр юридических лиц (индивидуальных предпринимателей) о юридическом лице (индивидуальном предпринимателе);</w:t>
      </w:r>
    </w:p>
    <w:p w:rsidR="00090B80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постановке на учет в налоговом органе юридич</w:t>
      </w:r>
      <w:r>
        <w:rPr>
          <w:sz w:val="24"/>
          <w:szCs w:val="24"/>
        </w:rPr>
        <w:t>еского лица (физического лица).</w:t>
      </w:r>
      <w:r w:rsidRPr="005E7834">
        <w:rPr>
          <w:sz w:val="24"/>
          <w:szCs w:val="24"/>
        </w:rPr>
        <w:t xml:space="preserve"> </w:t>
      </w:r>
    </w:p>
    <w:p w:rsidR="004C65C3" w:rsidRPr="005715C5" w:rsidRDefault="005715C5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7.2.2 </w:t>
      </w:r>
      <w:r w:rsidRPr="00023694">
        <w:rPr>
          <w:sz w:val="24"/>
          <w:szCs w:val="24"/>
        </w:rPr>
        <w:t xml:space="preserve">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="00512931">
        <w:rPr>
          <w:sz w:val="24"/>
          <w:szCs w:val="24"/>
        </w:rPr>
        <w:t xml:space="preserve"> в</w:t>
      </w:r>
      <w:r w:rsidR="00A66BE7">
        <w:rPr>
          <w:sz w:val="24"/>
          <w:szCs w:val="24"/>
        </w:rPr>
        <w:t xml:space="preserve"> </w:t>
      </w:r>
      <w:r w:rsidR="004C65C3">
        <w:rPr>
          <w:sz w:val="24"/>
          <w:szCs w:val="24"/>
        </w:rPr>
        <w:t>подтверждени</w:t>
      </w:r>
      <w:r w:rsidR="00512931">
        <w:rPr>
          <w:sz w:val="24"/>
          <w:szCs w:val="24"/>
        </w:rPr>
        <w:t>е</w:t>
      </w:r>
      <w:r w:rsidR="004C65C3">
        <w:rPr>
          <w:sz w:val="24"/>
          <w:szCs w:val="24"/>
        </w:rPr>
        <w:t xml:space="preserve"> наличия транспортных средств</w:t>
      </w:r>
      <w:r w:rsidR="00512931">
        <w:rPr>
          <w:sz w:val="24"/>
          <w:szCs w:val="24"/>
        </w:rPr>
        <w:t>, предусмотренных его заявкой на участие в открытом конкурсе</w:t>
      </w:r>
      <w:r w:rsidR="004C65C3">
        <w:rPr>
          <w:sz w:val="24"/>
          <w:szCs w:val="24"/>
        </w:rPr>
        <w:t xml:space="preserve"> следующие документы:</w:t>
      </w:r>
      <w:r w:rsidR="004C65C3" w:rsidRPr="004C65C3">
        <w:rPr>
          <w:sz w:val="24"/>
          <w:szCs w:val="24"/>
        </w:rPr>
        <w:t xml:space="preserve"> </w:t>
      </w:r>
      <w:r w:rsidR="004C65C3" w:rsidRPr="005715C5">
        <w:rPr>
          <w:sz w:val="24"/>
          <w:szCs w:val="24"/>
        </w:rPr>
        <w:t>копи</w:t>
      </w:r>
      <w:r w:rsidR="004C65C3">
        <w:rPr>
          <w:sz w:val="24"/>
          <w:szCs w:val="24"/>
        </w:rPr>
        <w:t>и</w:t>
      </w:r>
      <w:r w:rsidR="004C65C3" w:rsidRPr="005715C5">
        <w:rPr>
          <w:sz w:val="24"/>
          <w:szCs w:val="24"/>
        </w:rPr>
        <w:t xml:space="preserve"> свидетельств о регистрации транспортных средств или паспортов транспортных средств, которые планируется использовать для регулярных перевозок на маршруте, иных документов, </w:t>
      </w:r>
      <w:r w:rsidR="004C65C3" w:rsidRPr="005715C5">
        <w:rPr>
          <w:sz w:val="24"/>
          <w:szCs w:val="24"/>
        </w:rPr>
        <w:lastRenderedPageBreak/>
        <w:t>подтверждающих право владения указанными транспортными средствами (договор аренды, лизинга и т.п.)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Оснащенность транспортных средств подтверждается, любой из следующих форм: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- спецификация к транспортным средствам с приложением копий документов подтверждающих: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а) оборудование  транспортных средств электронными информационными табло (бегущая строка)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б) оборудование  транспортных средств специальными устройствами для объявления остановок (звуковое сопровождение) при наличии;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в) оборудование  транспортных средств системой внутреннего и внешнего видеонаблюдения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г)  оборудование  транспортных средств системой кондиционирования воздуха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>-  паспорт транспортного средства с соответствующей отметкой о внесении изменений в конструкцию транспортного средства.</w:t>
      </w:r>
    </w:p>
    <w:p w:rsidR="00132B8E" w:rsidRPr="00023694" w:rsidRDefault="00090B80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>. Организатор открытого конкурса выдает свидетельство и карты маршрута юридическому лицу, индивидуальному предпринимателю или уполномоченному участнику договора простого товарищества, указанным в подпункт</w:t>
      </w:r>
      <w:r w:rsidR="006E51DF">
        <w:rPr>
          <w:sz w:val="24"/>
          <w:szCs w:val="24"/>
        </w:rPr>
        <w:t>ах</w:t>
      </w:r>
      <w:r w:rsidR="00132B8E" w:rsidRPr="00023694">
        <w:rPr>
          <w:sz w:val="24"/>
          <w:szCs w:val="24"/>
        </w:rPr>
        <w:t xml:space="preserve"> </w:t>
      </w:r>
      <w:r w:rsidR="00B06571"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.1</w:t>
      </w:r>
      <w:r w:rsidR="006E51DF">
        <w:rPr>
          <w:sz w:val="24"/>
          <w:szCs w:val="24"/>
        </w:rPr>
        <w:t xml:space="preserve"> и 7.2.2</w:t>
      </w:r>
      <w:r w:rsidR="00132B8E" w:rsidRPr="00023694">
        <w:rPr>
          <w:sz w:val="24"/>
          <w:szCs w:val="24"/>
        </w:rPr>
        <w:t xml:space="preserve"> конкурсной документации, в течение десяти дней со дня проведения открытого конкурса срок</w:t>
      </w:r>
      <w:r w:rsidR="00132B8E">
        <w:rPr>
          <w:sz w:val="24"/>
          <w:szCs w:val="24"/>
        </w:rPr>
        <w:t>ом</w:t>
      </w:r>
      <w:r w:rsidR="00132B8E" w:rsidRPr="00023694">
        <w:rPr>
          <w:sz w:val="24"/>
          <w:szCs w:val="24"/>
        </w:rPr>
        <w:t xml:space="preserve"> </w:t>
      </w:r>
      <w:r w:rsidR="00132B8E">
        <w:rPr>
          <w:sz w:val="24"/>
          <w:szCs w:val="24"/>
        </w:rPr>
        <w:t>на</w:t>
      </w:r>
      <w:r w:rsidR="006E51DF">
        <w:rPr>
          <w:sz w:val="24"/>
          <w:szCs w:val="24"/>
        </w:rPr>
        <w:t xml:space="preserve"> пять лет,</w:t>
      </w:r>
      <w:r w:rsidR="00132B8E" w:rsidRPr="00023694">
        <w:rPr>
          <w:sz w:val="24"/>
          <w:szCs w:val="24"/>
        </w:rPr>
        <w:t xml:space="preserve"> </w:t>
      </w:r>
      <w:r w:rsidR="006E51DF">
        <w:rPr>
          <w:sz w:val="24"/>
          <w:szCs w:val="24"/>
        </w:rPr>
        <w:t>е</w:t>
      </w:r>
      <w:r w:rsidR="00132B8E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перевозок.</w:t>
      </w:r>
    </w:p>
    <w:p w:rsidR="00A556C9" w:rsidRPr="00B06571" w:rsidRDefault="00B06571" w:rsidP="00B065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случае </w:t>
      </w:r>
      <w:r w:rsidR="00A556C9" w:rsidRPr="006E51DF">
        <w:rPr>
          <w:rFonts w:eastAsiaTheme="minorHAnsi"/>
          <w:sz w:val="24"/>
          <w:szCs w:val="24"/>
          <w:lang w:eastAsia="en-US"/>
        </w:rPr>
        <w:t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на получение свидетельств об осуществлении перевозок по данным маршрутам предоставляется участнику открытого конкурса, заявке на участие в открытом конкурсе которого присвоен второй номер;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 xml:space="preserve">конкурса, не признанных Победителями,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6E51DF">
        <w:rPr>
          <w:bCs/>
          <w:sz w:val="24"/>
          <w:szCs w:val="24"/>
        </w:rPr>
        <w:t>3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9364CC" w:rsidRDefault="009364CC" w:rsidP="00132B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r w:rsidR="00DC7877">
        <w:rPr>
          <w:sz w:val="24"/>
          <w:szCs w:val="24"/>
        </w:rPr>
        <w:t xml:space="preserve"> (-ым)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(-ам)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и б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отношении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копий) 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средств в сроки,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>сведениями подразделения Государственной инспекции безопасности дорожного движения Министерства внутренних дел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 газомоторном топливе</w:t>
      </w:r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r w:rsidRPr="00023694">
        <w:rPr>
          <w:i/>
        </w:rPr>
        <w:t>(Подтверждается соответствующими документами (их заверенными копиями):  паспорт 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 xml:space="preserve">транспортных средств необходимым оборудованием. В случае,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.2.4. Претендент имеет право дополнительно предоставить документы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б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 договора простого товарищества.</w:t>
      </w:r>
    </w:p>
    <w:p w:rsidR="00C85391" w:rsidRPr="005E7834" w:rsidRDefault="00C07C15" w:rsidP="005E7834">
      <w:pPr>
        <w:pStyle w:val="ConsPlusNormal"/>
        <w:ind w:firstLine="540"/>
        <w:jc w:val="both"/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сообщает</w:t>
      </w:r>
      <w:r w:rsidR="00D02587" w:rsidRPr="00F825E2">
        <w:rPr>
          <w:rFonts w:ascii="Times New Roman" w:hAnsi="Times New Roman" w:cs="Times New Roman"/>
          <w:sz w:val="24"/>
          <w:szCs w:val="24"/>
        </w:rPr>
        <w:t>(ю)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направляет(ю)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(-ам)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лоту(ам):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color w:val="FF0000"/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lastRenderedPageBreak/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108" w:firstLine="108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 xml:space="preserve">№: 1  </w:t>
            </w:r>
          </w:p>
          <w:p w:rsidR="00074CDA" w:rsidRPr="00F825E2" w:rsidRDefault="00074CDA" w:rsidP="001D2716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r w:rsidRPr="00F825E2">
              <w:rPr>
                <w:sz w:val="24"/>
                <w:szCs w:val="24"/>
              </w:rPr>
              <w:t>согласно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rFonts w:eastAsia="Calibri"/>
                <w:sz w:val="24"/>
                <w:szCs w:val="24"/>
              </w:rPr>
              <w:t xml:space="preserve">круглогодично </w:t>
            </w:r>
          </w:p>
        </w:tc>
      </w:tr>
      <w:tr w:rsidR="00074CDA" w:rsidRPr="00F825E2" w:rsidTr="00C96A0A">
        <w:tc>
          <w:tcPr>
            <w:tcW w:w="2268" w:type="dxa"/>
            <w:vMerge w:val="restart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Автобус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Класс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BE6903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 xml:space="preserve">«Малый», </w:t>
            </w:r>
            <w:r w:rsidR="00BE6903">
              <w:rPr>
                <w:sz w:val="24"/>
                <w:szCs w:val="24"/>
              </w:rPr>
              <w:t>«Средний»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1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Подтверждаем(ю),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действовавшими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гарантируем(ю)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берем(у)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Е-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л,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 xml:space="preserve">муниципальному (-ым)   маршруту (-ам)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В  случае  победы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bookmarkStart w:id="3" w:name="_GoBack"/>
      <w:bookmarkEnd w:id="3"/>
      <w:r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5B1930" w:rsidRDefault="005B1930" w:rsidP="00D61528">
      <w:pPr>
        <w:rPr>
          <w:sz w:val="24"/>
          <w:szCs w:val="24"/>
        </w:rPr>
      </w:pPr>
    </w:p>
    <w:p w:rsidR="00D61528" w:rsidRDefault="00D61528" w:rsidP="00D61528">
      <w:pPr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023694" w:rsidRDefault="00132B8E" w:rsidP="00132B8E">
      <w:pPr>
        <w:widowControl w:val="0"/>
        <w:spacing w:before="120"/>
        <w:ind w:left="1208" w:hanging="35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№ п/п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C93977" w:rsidRDefault="005F23C6" w:rsidP="00C96A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D49C3" w:rsidRPr="00023694" w:rsidRDefault="005F23C6" w:rsidP="00DD49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rPr>
          <w:sz w:val="28"/>
          <w:szCs w:val="28"/>
        </w:rPr>
      </w:pP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Default="00DD49C3" w:rsidP="00C96A0A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132B8E" w:rsidRPr="00023694" w:rsidRDefault="00DD49C3" w:rsidP="005F23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32B8E" w:rsidRPr="00023694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по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регулярных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по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действующего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(-ам)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 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 xml:space="preserve"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 требуемые транспортные средства и в необходимом количестве, не позднее ______________20___ г. 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(-ам) регулярных перевозок по результатам открытого конкурса, я обязан приступить к осуществлению предусмотренных выданным (-ми) мне свидетельством (-ами)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 (-в) об осуществлении перевозок по маршруту (-ам)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D61528" w:rsidRDefault="00132B8E" w:rsidP="00D61528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 (-ых) маршрута (-ов)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77"/>
        <w:gridCol w:w="569"/>
        <w:gridCol w:w="702"/>
        <w:gridCol w:w="848"/>
        <w:gridCol w:w="559"/>
        <w:gridCol w:w="1269"/>
        <w:gridCol w:w="844"/>
        <w:gridCol w:w="709"/>
        <w:gridCol w:w="707"/>
        <w:gridCol w:w="709"/>
        <w:gridCol w:w="846"/>
        <w:gridCol w:w="707"/>
        <w:gridCol w:w="840"/>
      </w:tblGrid>
      <w:tr w:rsidR="00A901F7" w:rsidRPr="00023694" w:rsidTr="006C44FA">
        <w:trPr>
          <w:cantSplit/>
          <w:trHeight w:val="113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Общая вместимость транспортного стредства (человек):</w:t>
            </w:r>
          </w:p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сидения/общая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39" w:type="pct"/>
            <w:shd w:val="clear" w:color="auto" w:fill="auto"/>
          </w:tcPr>
          <w:p w:rsidR="00A901F7" w:rsidRPr="00C93977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40" w:type="pct"/>
            <w:shd w:val="clear" w:color="auto" w:fill="auto"/>
          </w:tcPr>
          <w:p w:rsidR="00A901F7" w:rsidRPr="00C93977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06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39" w:type="pct"/>
          </w:tcPr>
          <w:p w:rsidR="00A901F7" w:rsidRPr="00433E66" w:rsidRDefault="00A901F7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A901F7" w:rsidRPr="00433E66" w:rsidRDefault="00A901F7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A901F7" w:rsidRPr="00023694" w:rsidTr="006C44FA">
        <w:trPr>
          <w:cantSplit/>
          <w:trHeight w:val="30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901F7" w:rsidRPr="00023694" w:rsidTr="006C44FA">
        <w:trPr>
          <w:cantSplit/>
          <w:trHeight w:val="469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sectPr w:rsidR="00132B8E" w:rsidSect="003E786B">
      <w:footerReference w:type="default" r:id="rId14"/>
      <w:pgSz w:w="11906" w:h="16838" w:code="9"/>
      <w:pgMar w:top="737" w:right="567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A65" w:rsidRDefault="00522A65" w:rsidP="00170A3E">
      <w:r>
        <w:separator/>
      </w:r>
    </w:p>
  </w:endnote>
  <w:endnote w:type="continuationSeparator" w:id="0">
    <w:p w:rsidR="00522A65" w:rsidRDefault="00522A65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5560"/>
    </w:sdtPr>
    <w:sdtEndPr/>
    <w:sdtContent>
      <w:p w:rsidR="00BE6903" w:rsidRDefault="00BE690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0A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E6903" w:rsidRDefault="00BE69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A65" w:rsidRDefault="00522A65" w:rsidP="00170A3E">
      <w:r>
        <w:separator/>
      </w:r>
    </w:p>
  </w:footnote>
  <w:footnote w:type="continuationSeparator" w:id="0">
    <w:p w:rsidR="00522A65" w:rsidRDefault="00522A65" w:rsidP="0017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33C71"/>
    <w:rsid w:val="0003617B"/>
    <w:rsid w:val="000409B2"/>
    <w:rsid w:val="000656FA"/>
    <w:rsid w:val="00073082"/>
    <w:rsid w:val="00074CDA"/>
    <w:rsid w:val="00086F1D"/>
    <w:rsid w:val="00087A35"/>
    <w:rsid w:val="00090B80"/>
    <w:rsid w:val="000A7F2D"/>
    <w:rsid w:val="000B0852"/>
    <w:rsid w:val="000D5EC0"/>
    <w:rsid w:val="000D66DF"/>
    <w:rsid w:val="000F5861"/>
    <w:rsid w:val="00107A14"/>
    <w:rsid w:val="00132792"/>
    <w:rsid w:val="00132B8E"/>
    <w:rsid w:val="00164E72"/>
    <w:rsid w:val="00170A3E"/>
    <w:rsid w:val="00172B03"/>
    <w:rsid w:val="0017341A"/>
    <w:rsid w:val="001821B4"/>
    <w:rsid w:val="001A6F35"/>
    <w:rsid w:val="001D0652"/>
    <w:rsid w:val="001D2195"/>
    <w:rsid w:val="001D2716"/>
    <w:rsid w:val="001D531C"/>
    <w:rsid w:val="001D6212"/>
    <w:rsid w:val="001E5FFE"/>
    <w:rsid w:val="002112B7"/>
    <w:rsid w:val="0022050D"/>
    <w:rsid w:val="0022300E"/>
    <w:rsid w:val="00234236"/>
    <w:rsid w:val="00251F61"/>
    <w:rsid w:val="00272F60"/>
    <w:rsid w:val="002730A9"/>
    <w:rsid w:val="0028364F"/>
    <w:rsid w:val="002C6DA5"/>
    <w:rsid w:val="002D7874"/>
    <w:rsid w:val="002E15C1"/>
    <w:rsid w:val="002E70A8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47F5"/>
    <w:rsid w:val="003D1F96"/>
    <w:rsid w:val="003E1A3F"/>
    <w:rsid w:val="003E74A3"/>
    <w:rsid w:val="003E786B"/>
    <w:rsid w:val="00415D42"/>
    <w:rsid w:val="00433E66"/>
    <w:rsid w:val="0044686B"/>
    <w:rsid w:val="0047147D"/>
    <w:rsid w:val="0047662B"/>
    <w:rsid w:val="00480838"/>
    <w:rsid w:val="00492E87"/>
    <w:rsid w:val="004B07E5"/>
    <w:rsid w:val="004C65C3"/>
    <w:rsid w:val="004D6CE7"/>
    <w:rsid w:val="004E6CF6"/>
    <w:rsid w:val="004F14BB"/>
    <w:rsid w:val="00512931"/>
    <w:rsid w:val="00522A65"/>
    <w:rsid w:val="00523841"/>
    <w:rsid w:val="00554352"/>
    <w:rsid w:val="005546AA"/>
    <w:rsid w:val="00560838"/>
    <w:rsid w:val="00564F3A"/>
    <w:rsid w:val="005715C5"/>
    <w:rsid w:val="00577D82"/>
    <w:rsid w:val="005867A7"/>
    <w:rsid w:val="005B1930"/>
    <w:rsid w:val="005B7680"/>
    <w:rsid w:val="005D5095"/>
    <w:rsid w:val="005D712D"/>
    <w:rsid w:val="005E434F"/>
    <w:rsid w:val="005E7834"/>
    <w:rsid w:val="005F23C6"/>
    <w:rsid w:val="006138B0"/>
    <w:rsid w:val="006155CF"/>
    <w:rsid w:val="0062333D"/>
    <w:rsid w:val="00625945"/>
    <w:rsid w:val="006349BA"/>
    <w:rsid w:val="00636327"/>
    <w:rsid w:val="006919BA"/>
    <w:rsid w:val="006B352F"/>
    <w:rsid w:val="006C44FA"/>
    <w:rsid w:val="006D1209"/>
    <w:rsid w:val="006E51DF"/>
    <w:rsid w:val="00714535"/>
    <w:rsid w:val="00733A69"/>
    <w:rsid w:val="00735E90"/>
    <w:rsid w:val="00750C22"/>
    <w:rsid w:val="007510CB"/>
    <w:rsid w:val="007B3E3B"/>
    <w:rsid w:val="007E5845"/>
    <w:rsid w:val="007E606E"/>
    <w:rsid w:val="008009F8"/>
    <w:rsid w:val="00803C72"/>
    <w:rsid w:val="00823497"/>
    <w:rsid w:val="00840AC5"/>
    <w:rsid w:val="0085018C"/>
    <w:rsid w:val="008515CA"/>
    <w:rsid w:val="0086752F"/>
    <w:rsid w:val="008C4681"/>
    <w:rsid w:val="008D391A"/>
    <w:rsid w:val="00901F5E"/>
    <w:rsid w:val="009053CF"/>
    <w:rsid w:val="00905B0A"/>
    <w:rsid w:val="00913B66"/>
    <w:rsid w:val="009364CC"/>
    <w:rsid w:val="00941A90"/>
    <w:rsid w:val="00943E81"/>
    <w:rsid w:val="00947C3A"/>
    <w:rsid w:val="009556A2"/>
    <w:rsid w:val="0097170D"/>
    <w:rsid w:val="00974F5D"/>
    <w:rsid w:val="009A4A0C"/>
    <w:rsid w:val="009B3B24"/>
    <w:rsid w:val="009D38E0"/>
    <w:rsid w:val="009D7AE4"/>
    <w:rsid w:val="009F3D75"/>
    <w:rsid w:val="009F54FF"/>
    <w:rsid w:val="00A031D7"/>
    <w:rsid w:val="00A15CBA"/>
    <w:rsid w:val="00A233CC"/>
    <w:rsid w:val="00A30025"/>
    <w:rsid w:val="00A36B15"/>
    <w:rsid w:val="00A37F70"/>
    <w:rsid w:val="00A4011E"/>
    <w:rsid w:val="00A420E3"/>
    <w:rsid w:val="00A55371"/>
    <w:rsid w:val="00A556C9"/>
    <w:rsid w:val="00A6078E"/>
    <w:rsid w:val="00A66BE7"/>
    <w:rsid w:val="00A714D9"/>
    <w:rsid w:val="00A901F7"/>
    <w:rsid w:val="00AB09AA"/>
    <w:rsid w:val="00AB6255"/>
    <w:rsid w:val="00AD0461"/>
    <w:rsid w:val="00AE531E"/>
    <w:rsid w:val="00AE65C2"/>
    <w:rsid w:val="00AF0789"/>
    <w:rsid w:val="00B0106D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53789"/>
    <w:rsid w:val="00B71F8D"/>
    <w:rsid w:val="00B74A9D"/>
    <w:rsid w:val="00BA6C5E"/>
    <w:rsid w:val="00BE3912"/>
    <w:rsid w:val="00BE6903"/>
    <w:rsid w:val="00C0251A"/>
    <w:rsid w:val="00C07C15"/>
    <w:rsid w:val="00C14064"/>
    <w:rsid w:val="00C210C5"/>
    <w:rsid w:val="00C23304"/>
    <w:rsid w:val="00C377B3"/>
    <w:rsid w:val="00C557F0"/>
    <w:rsid w:val="00C67A5C"/>
    <w:rsid w:val="00C707EB"/>
    <w:rsid w:val="00C751B0"/>
    <w:rsid w:val="00C8082B"/>
    <w:rsid w:val="00C829BE"/>
    <w:rsid w:val="00C85391"/>
    <w:rsid w:val="00C93977"/>
    <w:rsid w:val="00C96A0A"/>
    <w:rsid w:val="00CD58E7"/>
    <w:rsid w:val="00CD6E87"/>
    <w:rsid w:val="00CE6B15"/>
    <w:rsid w:val="00CF3D67"/>
    <w:rsid w:val="00D003C9"/>
    <w:rsid w:val="00D02587"/>
    <w:rsid w:val="00D256AB"/>
    <w:rsid w:val="00D270EB"/>
    <w:rsid w:val="00D37567"/>
    <w:rsid w:val="00D4575D"/>
    <w:rsid w:val="00D500D9"/>
    <w:rsid w:val="00D61528"/>
    <w:rsid w:val="00D62056"/>
    <w:rsid w:val="00D71E79"/>
    <w:rsid w:val="00D850E8"/>
    <w:rsid w:val="00DA042A"/>
    <w:rsid w:val="00DA16A0"/>
    <w:rsid w:val="00DB42E8"/>
    <w:rsid w:val="00DC773F"/>
    <w:rsid w:val="00DC7877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649B1"/>
    <w:rsid w:val="00E65265"/>
    <w:rsid w:val="00E677F8"/>
    <w:rsid w:val="00E74004"/>
    <w:rsid w:val="00E82316"/>
    <w:rsid w:val="00E876F0"/>
    <w:rsid w:val="00EB50E2"/>
    <w:rsid w:val="00EC5230"/>
    <w:rsid w:val="00F248A4"/>
    <w:rsid w:val="00F40F03"/>
    <w:rsid w:val="00F825E2"/>
    <w:rsid w:val="00F84AF8"/>
    <w:rsid w:val="00F95ABA"/>
    <w:rsid w:val="00FA044F"/>
    <w:rsid w:val="00FB71F4"/>
    <w:rsid w:val="00FC1A9E"/>
    <w:rsid w:val="00FE2F2A"/>
    <w:rsid w:val="00FE64CC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3478F-585A-4C03-88CC-7776FDAB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8341</Words>
  <Characters>47549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Белозерова Ирина Владимировна</cp:lastModifiedBy>
  <cp:revision>2</cp:revision>
  <cp:lastPrinted>2019-07-03T08:49:00Z</cp:lastPrinted>
  <dcterms:created xsi:type="dcterms:W3CDTF">2019-07-19T08:52:00Z</dcterms:created>
  <dcterms:modified xsi:type="dcterms:W3CDTF">2019-07-19T08:52:00Z</dcterms:modified>
</cp:coreProperties>
</file>