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01.12.2023 N 2060</w:t>
              <w:br/>
              <w:t xml:space="preserve">"Об утверждении Правил движения тяжеловесного и (или) крупногабаритного транспортного средства"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декабря 2023 г. N 2060</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ДВИЖЕНИЯ ТЯЖЕЛОВЕСНОГО И (ИЛИ) КРУПНОГАБАРИТНОГО</w:t>
      </w:r>
    </w:p>
    <w:p>
      <w:pPr>
        <w:pStyle w:val="2"/>
        <w:jc w:val="center"/>
      </w:pPr>
      <w:r>
        <w:rPr>
          <w:sz w:val="20"/>
        </w:rPr>
        <w:t xml:space="preserve">ТРАНСПОРТНОГО СРЕДСТВА</w:t>
      </w:r>
    </w:p>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0" w:tooltip="ПРАВИЛА">
        <w:r>
          <w:rPr>
            <w:sz w:val="20"/>
            <w:color w:val="0000ff"/>
          </w:rPr>
          <w:t xml:space="preserve">Правила</w:t>
        </w:r>
      </w:hyperlink>
      <w:r>
        <w:rPr>
          <w:sz w:val="20"/>
        </w:rPr>
        <w:t xml:space="preserve"> движения тяжеловесного и (или) крупногабаритного транспортного средства.</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7" w:tooltip="Постановление Правительства РФ от 31.01.2020 N 67 (ред. от 26.10.2020) &quot;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января 2020 г.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(Собрание законодательства Российской Федерации, 2020, N 6, ст. 675);</w:t>
      </w:r>
    </w:p>
    <w:p>
      <w:pPr>
        <w:pStyle w:val="0"/>
        <w:spacing w:before="200" w:line-rule="auto"/>
        <w:ind w:firstLine="540"/>
        <w:jc w:val="both"/>
      </w:pPr>
      <w:hyperlink w:history="0" r:id="rId8" w:tooltip="Постановление Правительства РФ от 14.08.2020 N 1218 (ред. от 26.10.2020) &quot;О внесении изменений в приложение N 2 к Правилам перевозок грузов автомобильным транспортом и постановление Правительства Российской Федерации от 31 января 2020 г. N 67&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августа 2020 г. N 1218 "О внесении изменений в приложение N 2 к Правилам перевозок грузов автомобильным транспортом и постановление Правительства Российской Федерации от 31 января 2020 г. N 67" (Собрание законодательства Российской Федерации, 2020, N 34, ст. 5449).</w:t>
      </w:r>
    </w:p>
    <w:p>
      <w:pPr>
        <w:pStyle w:val="0"/>
        <w:spacing w:before="200" w:line-rule="auto"/>
        <w:ind w:firstLine="540"/>
        <w:jc w:val="both"/>
      </w:pPr>
      <w:r>
        <w:rPr>
          <w:sz w:val="20"/>
        </w:rPr>
        <w:t xml:space="preserve">3. Настоящее постановление вступает в силу с 1 марта 2024 г. и действует до 1 марта 2030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декабря 2023 г. N 2060</w:t>
      </w:r>
    </w:p>
    <w:p>
      <w:pPr>
        <w:pStyle w:val="0"/>
        <w:jc w:val="both"/>
      </w:pPr>
      <w:r>
        <w:rPr>
          <w:sz w:val="20"/>
        </w:rPr>
      </w:r>
    </w:p>
    <w:bookmarkStart w:id="30" w:name="P30"/>
    <w:bookmarkEnd w:id="30"/>
    <w:p>
      <w:pPr>
        <w:pStyle w:val="2"/>
        <w:jc w:val="center"/>
      </w:pPr>
      <w:r>
        <w:rPr>
          <w:sz w:val="20"/>
        </w:rPr>
        <w:t xml:space="preserve">ПРАВИЛА</w:t>
      </w:r>
    </w:p>
    <w:p>
      <w:pPr>
        <w:pStyle w:val="2"/>
        <w:jc w:val="center"/>
      </w:pPr>
      <w:r>
        <w:rPr>
          <w:sz w:val="20"/>
        </w:rPr>
        <w:t xml:space="preserve">ДВИЖЕНИЯ ТЯЖЕЛОВЕСНОГО И (ИЛИ) КРУПНОГАБАРИТНОГО</w:t>
      </w:r>
    </w:p>
    <w:p>
      <w:pPr>
        <w:pStyle w:val="2"/>
        <w:jc w:val="center"/>
      </w:pPr>
      <w:r>
        <w:rPr>
          <w:sz w:val="20"/>
        </w:rPr>
        <w:t xml:space="preserve">ТРАНСПОРТНОГО СРЕДСТВА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w:t>
      </w:r>
    </w:p>
    <w:p>
      <w:pPr>
        <w:pStyle w:val="0"/>
        <w:spacing w:before="200" w:line-rule="auto"/>
        <w:ind w:firstLine="540"/>
        <w:jc w:val="both"/>
      </w:pPr>
      <w:r>
        <w:rPr>
          <w:sz w:val="20"/>
        </w:rPr>
        <w:t xml:space="preserve">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pPr>
        <w:pStyle w:val="0"/>
        <w:spacing w:before="200" w:line-rule="auto"/>
        <w:ind w:firstLine="540"/>
        <w:jc w:val="both"/>
      </w:pPr>
      <w:r>
        <w:rPr>
          <w:sz w:val="20"/>
        </w:rPr>
        <w:t xml:space="preserve">порядок выдачи специального разрешения на движение по автомобильным дорогам тяжеловесного и (или) крупногабаритного транспортного средства,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(далее - проект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pPr>
        <w:pStyle w:val="0"/>
        <w:spacing w:before="200" w:line-rule="auto"/>
        <w:ind w:firstLine="540"/>
        <w:jc w:val="both"/>
      </w:pPr>
      <w:r>
        <w:rPr>
          <w:sz w:val="20"/>
        </w:rPr>
        <w:t xml:space="preserve">порядок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порядок определения размера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требования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pPr>
        <w:pStyle w:val="0"/>
        <w:spacing w:before="200" w:line-rule="auto"/>
        <w:ind w:firstLine="540"/>
        <w:jc w:val="both"/>
      </w:pPr>
      <w:r>
        <w:rPr>
          <w:sz w:val="20"/>
        </w:rPr>
        <w:t xml:space="preserve">порядок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порядок взаимодействия уполномоченного органа с владельцами автомобильных дорог в целях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pPr>
        <w:pStyle w:val="0"/>
        <w:jc w:val="both"/>
      </w:pPr>
      <w:r>
        <w:rPr>
          <w:sz w:val="20"/>
        </w:rPr>
      </w:r>
    </w:p>
    <w:p>
      <w:pPr>
        <w:pStyle w:val="2"/>
        <w:outlineLvl w:val="1"/>
        <w:jc w:val="center"/>
      </w:pPr>
      <w:r>
        <w:rPr>
          <w:sz w:val="20"/>
        </w:rPr>
        <w:t xml:space="preserve">II. Основные понятия</w:t>
      </w:r>
    </w:p>
    <w:p>
      <w:pPr>
        <w:pStyle w:val="0"/>
        <w:jc w:val="both"/>
      </w:pPr>
      <w:r>
        <w:rPr>
          <w:sz w:val="20"/>
        </w:rPr>
      </w:r>
    </w:p>
    <w:p>
      <w:pPr>
        <w:pStyle w:val="0"/>
        <w:ind w:firstLine="540"/>
        <w:jc w:val="both"/>
      </w:pPr>
      <w:r>
        <w:rPr>
          <w:sz w:val="20"/>
        </w:rPr>
        <w:t xml:space="preserve">2. В настоящих Правилах используются следующие основные понятия:</w:t>
      </w:r>
    </w:p>
    <w:p>
      <w:pPr>
        <w:pStyle w:val="0"/>
        <w:spacing w:before="200" w:line-rule="auto"/>
        <w:ind w:firstLine="540"/>
        <w:jc w:val="both"/>
      </w:pPr>
      <w:r>
        <w:rPr>
          <w:sz w:val="20"/>
        </w:rPr>
        <w:t xml:space="preserve">"делимый в контейнере груз" - делимый груз при международной перевозке в контейнере в соответствии с таможенной процедурой таможенного транзита разными видами транспорта;</w:t>
      </w:r>
    </w:p>
    <w:p>
      <w:pPr>
        <w:pStyle w:val="0"/>
        <w:spacing w:before="200" w:line-rule="auto"/>
        <w:ind w:firstLine="540"/>
        <w:jc w:val="both"/>
      </w:pPr>
      <w:r>
        <w:rPr>
          <w:sz w:val="20"/>
        </w:rPr>
        <w:t xml:space="preserve">"делимый груз" - груз, который без потери потребительских свойств или риска его порчи может быть размещен на двух или более грузовых местах;</w:t>
      </w:r>
    </w:p>
    <w:p>
      <w:pPr>
        <w:pStyle w:val="0"/>
        <w:spacing w:before="200" w:line-rule="auto"/>
        <w:ind w:firstLine="540"/>
        <w:jc w:val="both"/>
      </w:pPr>
      <w:r>
        <w:rPr>
          <w:sz w:val="20"/>
        </w:rPr>
        <w:t xml:space="preserve">"единый портал" - федеральная государственная информационная система "Единый портал государственных и муниципальных услуг (функций)";</w:t>
      </w:r>
    </w:p>
    <w:p>
      <w:pPr>
        <w:pStyle w:val="0"/>
        <w:spacing w:before="200" w:line-rule="auto"/>
        <w:ind w:firstLine="540"/>
        <w:jc w:val="both"/>
      </w:pPr>
      <w:r>
        <w:rPr>
          <w:sz w:val="20"/>
        </w:rPr>
        <w:t xml:space="preserve">"заявитель" - физическое лицо, в том числе индивидуальный предприниматель, юридическое лицо, подавшие заявление на выдачу специального разрешения;</w:t>
      </w:r>
    </w:p>
    <w:p>
      <w:pPr>
        <w:pStyle w:val="0"/>
        <w:spacing w:before="200" w:line-rule="auto"/>
        <w:ind w:firstLine="540"/>
        <w:jc w:val="both"/>
      </w:pPr>
      <w:r>
        <w:rPr>
          <w:sz w:val="20"/>
        </w:rPr>
        <w:t xml:space="preserve">"заявление" - 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"крупногабаритное транспортное средство" - транспортное средство, габариты которого с грузом или без груза превышают допустимые габариты, установленные согласно </w:t>
      </w:r>
      <w:hyperlink w:history="0" w:anchor="P347" w:tooltip="ДОПУСТИМЫЕ ГАБАРИТЫ ТРАНСПОРТНОГО СРЕДСТВА">
        <w:r>
          <w:rPr>
            <w:sz w:val="20"/>
            <w:color w:val="0000ff"/>
          </w:rPr>
          <w:t xml:space="preserve">приложению N 1</w:t>
        </w:r>
      </w:hyperlink>
      <w:r>
        <w:rPr>
          <w:sz w:val="20"/>
        </w:rPr>
        <w:t xml:space="preserve">, или габариты, установленные решением о временном ограничении движения транспортных средств, принимаемым на основании </w:t>
      </w:r>
      <w:hyperlink w:history="0" r:id="rId9"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пункта 2 части 1 статьи 30</w:t>
        </w:r>
      </w:hyperlink>
      <w:r>
        <w:rPr>
          <w:sz w:val="20"/>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spacing w:before="200" w:line-rule="auto"/>
        <w:ind w:firstLine="540"/>
        <w:jc w:val="both"/>
      </w:pPr>
      <w:r>
        <w:rPr>
          <w:sz w:val="20"/>
        </w:rPr>
        <w:t xml:space="preserve">"личный кабинет перевозчика" - личный кабинет перевозчика в федеральной государственной информационной системе выдачи специального разрешения на движение по автомобильным дорогам тяжеловесного и (или) крупногабаритного транспортного средства, доступ к которому осуществляется на сайте в информационно-телекоммуникационной сети "Интернет" по адресу https://safe-route.ru/lk;</w:t>
      </w:r>
    </w:p>
    <w:p>
      <w:pPr>
        <w:pStyle w:val="0"/>
        <w:spacing w:before="200" w:line-rule="auto"/>
        <w:ind w:firstLine="540"/>
        <w:jc w:val="both"/>
      </w:pPr>
      <w:r>
        <w:rPr>
          <w:sz w:val="20"/>
        </w:rPr>
        <w:t xml:space="preserve">"маршрут движения" - маршрут движения тяжеловесного и (или) крупногабаритного транспортного средства между пунктом отправления и пунктом назначения такого транспортного средства, указанный заявителем в заявлении;</w:t>
      </w:r>
    </w:p>
    <w:p>
      <w:pPr>
        <w:pStyle w:val="0"/>
        <w:spacing w:before="200" w:line-rule="auto"/>
        <w:ind w:firstLine="540"/>
        <w:jc w:val="both"/>
      </w:pPr>
      <w:r>
        <w:rPr>
          <w:sz w:val="20"/>
        </w:rPr>
        <w:t xml:space="preserve">"неделимый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pStyle w:val="0"/>
        <w:spacing w:before="200" w:line-rule="auto"/>
        <w:ind w:firstLine="540"/>
        <w:jc w:val="both"/>
      </w:pPr>
      <w:r>
        <w:rPr>
          <w:sz w:val="20"/>
        </w:rPr>
        <w:t xml:space="preserve">"оператор системы" -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предусмотренное </w:t>
      </w:r>
      <w:hyperlink w:history="0" r:id="rId10"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частью 3 статьи 31.2</w:t>
        </w:r>
      </w:hyperlink>
      <w:r>
        <w:rPr>
          <w:sz w:val="20"/>
        </w:rPr>
        <w:t xml:space="preserve"> Федерального закона;</w:t>
      </w:r>
    </w:p>
    <w:p>
      <w:pPr>
        <w:pStyle w:val="0"/>
        <w:spacing w:before="200" w:line-rule="auto"/>
        <w:ind w:firstLine="540"/>
        <w:jc w:val="both"/>
      </w:pPr>
      <w:r>
        <w:rPr>
          <w:sz w:val="20"/>
        </w:rPr>
        <w:t xml:space="preserve">"прицепное оборудование" - агрегаты, орудия и оборудование, различаемое по способу агрегатирования (прицепное, полунавесное, навесное), не оборудованные двигателем и предназначенные для выполнения основных и (или) дополнительных функций крупногабаритной сельскохозяйственной техники;</w:t>
      </w:r>
    </w:p>
    <w:p>
      <w:pPr>
        <w:pStyle w:val="0"/>
        <w:spacing w:before="200" w:line-rule="auto"/>
        <w:ind w:firstLine="540"/>
        <w:jc w:val="both"/>
      </w:pPr>
      <w:r>
        <w:rPr>
          <w:sz w:val="20"/>
        </w:rPr>
        <w:t xml:space="preserve">"реестр" - Федеральный реестр специальных разрешений на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"система выдачи специального разрешения" -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"системы удержания в транспортном положении" - совокупность средств фиксации рабочих агрегатов прицепного, полунавесного или навесного оборудования в транспортном положении, включающая средства крепления (цепи, тросы) и натяжные устройства (лебедки, стяжки, натяжные замки);</w:t>
      </w:r>
    </w:p>
    <w:p>
      <w:pPr>
        <w:pStyle w:val="0"/>
        <w:spacing w:before="200" w:line-rule="auto"/>
        <w:ind w:firstLine="540"/>
        <w:jc w:val="both"/>
      </w:pPr>
      <w:r>
        <w:rPr>
          <w:sz w:val="20"/>
        </w:rPr>
        <w:t xml:space="preserve">"специальное разрешение" - специальное разрешение, при наличии которого в случаях, предусмотренных </w:t>
      </w:r>
      <w:hyperlink w:history="0" r:id="rId11"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31</w:t>
        </w:r>
      </w:hyperlink>
      <w:r>
        <w:rPr>
          <w:sz w:val="20"/>
        </w:rPr>
        <w:t xml:space="preserve"> Федерального закона, допускается движение по автомобильным дорогам тяжеловесного и (или) крупногабаритного транспортного средства;</w:t>
      </w:r>
    </w:p>
    <w:p>
      <w:pPr>
        <w:pStyle w:val="0"/>
        <w:spacing w:before="200" w:line-rule="auto"/>
        <w:ind w:firstLine="540"/>
        <w:jc w:val="both"/>
      </w:pPr>
      <w:r>
        <w:rPr>
          <w:sz w:val="20"/>
        </w:rPr>
        <w:t xml:space="preserve">"транспортное положение" - положение агрегатов прицепного, полунавесного или навесного оборудования, предписанное производителем для его транспортировки, и расположение такого оборудования относительно проезжей части автомобильной дороги и тяжеловесной и (или) крупногабаритной сельскохозяйственной техники, используемой в качестве тягача, не создающее угрозы жизни и здоровью людей, исключающее повреждение или уничтожение материальных ценностей, дорожного полотна и природных объектов, а также не создающее помех оператору (водителю) в обзоре и управлении тяжеловесной и (или) крупногабаритной сельскохозяйственной техникой и не ухудшающее ее устойчивости;</w:t>
      </w:r>
    </w:p>
    <w:p>
      <w:pPr>
        <w:pStyle w:val="0"/>
        <w:spacing w:before="200" w:line-rule="auto"/>
        <w:ind w:firstLine="540"/>
        <w:jc w:val="both"/>
      </w:pPr>
      <w:r>
        <w:rPr>
          <w:sz w:val="20"/>
        </w:rPr>
        <w:t xml:space="preserve">"тяжеловесная и (или) крупногабаритная сельскохозяйственная техника" - тяжеловесное и (или) крупногабаритное транспортное средство (трактор, комбайн и иные сельскохозяйственные самоходные машины либо трактор или комбайн и иные сельскохозяйственные самоходные машины с прицепным оборудованием), габариты и (или) нагрузка на ось и (или) масса которого превышают допустимые габариты и (или) допустимую нагрузку на ось и (или) допустимую массу транспортного средства, установленные </w:t>
      </w:r>
      <w:hyperlink w:history="0" w:anchor="P347" w:tooltip="ДОПУСТИМЫЕ ГАБАРИТЫ ТРАНСПОРТНОГО СРЕДСТВА">
        <w:r>
          <w:rPr>
            <w:sz w:val="20"/>
            <w:color w:val="0000ff"/>
          </w:rPr>
          <w:t xml:space="preserve">приложениями N 1</w:t>
        </w:r>
      </w:hyperlink>
      <w:r>
        <w:rPr>
          <w:sz w:val="20"/>
        </w:rPr>
        <w:t xml:space="preserve">, </w:t>
      </w:r>
      <w:hyperlink w:history="0" w:anchor="P396" w:tooltip="ДОПУСТИМАЯ НАГРУЗКА НА ОСЬ ТРАНСПОРТНОГО СРЕДСТВА">
        <w:r>
          <w:rPr>
            <w:sz w:val="20"/>
            <w:color w:val="0000ff"/>
          </w:rPr>
          <w:t xml:space="preserve">2</w:t>
        </w:r>
      </w:hyperlink>
      <w:r>
        <w:rPr>
          <w:sz w:val="20"/>
        </w:rPr>
        <w:t xml:space="preserve"> и </w:t>
      </w:r>
      <w:hyperlink w:history="0" w:anchor="P509" w:tooltip="ДОПУСТИМАЯ МАССА ТРАНСПОРТНОГО СРЕДСТВА">
        <w:r>
          <w:rPr>
            <w:sz w:val="20"/>
            <w:color w:val="0000ff"/>
          </w:rPr>
          <w:t xml:space="preserve">3</w:t>
        </w:r>
      </w:hyperlink>
      <w:r>
        <w:rPr>
          <w:sz w:val="20"/>
        </w:rPr>
        <w:t xml:space="preserve"> к настоящим Правилам, или габариты и (или) нагрузку на ось и (или) массу транспортного средства, установленные решением о временном ограничении движения транспортных средств, принимаемым на основании </w:t>
      </w:r>
      <w:hyperlink w:history="0" r:id="rId12"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пункта 2 части 1 статьи 30</w:t>
        </w:r>
      </w:hyperlink>
      <w:r>
        <w:rPr>
          <w:sz w:val="20"/>
        </w:rPr>
        <w:t xml:space="preserve">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spacing w:before="200" w:line-rule="auto"/>
        <w:ind w:firstLine="540"/>
        <w:jc w:val="both"/>
      </w:pPr>
      <w:r>
        <w:rPr>
          <w:sz w:val="20"/>
        </w:rPr>
        <w:t xml:space="preserve">"тяжеловесное транспортное средство" - транспортное средство, нагрузка на ось которого и (или) масса которого с грузом или без груза превышают допустимую нагрузку на ось и (или) допустимую массу транспортного средства, установленные </w:t>
      </w:r>
      <w:hyperlink w:history="0" w:anchor="P396" w:tooltip="ДОПУСТИМАЯ НАГРУЗКА НА ОСЬ ТРАНСПОРТНОГО СРЕДСТВА">
        <w:r>
          <w:rPr>
            <w:sz w:val="20"/>
            <w:color w:val="0000ff"/>
          </w:rPr>
          <w:t xml:space="preserve">приложениями N 2</w:t>
        </w:r>
      </w:hyperlink>
      <w:r>
        <w:rPr>
          <w:sz w:val="20"/>
        </w:rPr>
        <w:t xml:space="preserve"> и </w:t>
      </w:r>
      <w:hyperlink w:history="0" w:anchor="P509" w:tooltip="ДОПУСТИМАЯ МАССА ТРАНСПОРТНОГО СРЕДСТВА">
        <w:r>
          <w:rPr>
            <w:sz w:val="20"/>
            <w:color w:val="0000ff"/>
          </w:rPr>
          <w:t xml:space="preserve">3</w:t>
        </w:r>
      </w:hyperlink>
      <w:r>
        <w:rPr>
          <w:sz w:val="20"/>
        </w:rPr>
        <w:t xml:space="preserve"> к настоящим Правилам,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history="0" r:id="rId13"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пункта 2 части 1 статьи 30</w:t>
        </w:r>
      </w:hyperlink>
      <w:r>
        <w:rPr>
          <w:sz w:val="20"/>
        </w:rPr>
        <w:t xml:space="preserve">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spacing w:before="200" w:line-rule="auto"/>
        <w:ind w:firstLine="540"/>
        <w:jc w:val="both"/>
      </w:pPr>
      <w:r>
        <w:rPr>
          <w:sz w:val="20"/>
        </w:rPr>
        <w:t xml:space="preserve">"уполномоченный орган" -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предусмотренное </w:t>
      </w:r>
      <w:hyperlink w:history="0" r:id="rId14"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частью 7 статьи 31</w:t>
        </w:r>
      </w:hyperlink>
      <w:r>
        <w:rPr>
          <w:sz w:val="20"/>
        </w:rPr>
        <w:t xml:space="preserve"> Федерального закона.</w:t>
      </w:r>
    </w:p>
    <w:p>
      <w:pPr>
        <w:pStyle w:val="0"/>
        <w:jc w:val="both"/>
      </w:pPr>
      <w:r>
        <w:rPr>
          <w:sz w:val="20"/>
        </w:rPr>
      </w:r>
    </w:p>
    <w:p>
      <w:pPr>
        <w:pStyle w:val="2"/>
        <w:outlineLvl w:val="1"/>
        <w:jc w:val="center"/>
      </w:pPr>
      <w:r>
        <w:rPr>
          <w:sz w:val="20"/>
        </w:rPr>
        <w:t xml:space="preserve">III. Порядок выдачи специального разрешения</w:t>
      </w:r>
    </w:p>
    <w:p>
      <w:pPr>
        <w:pStyle w:val="2"/>
        <w:jc w:val="center"/>
      </w:pPr>
      <w:r>
        <w:rPr>
          <w:sz w:val="20"/>
        </w:rPr>
        <w:t xml:space="preserve">на движение по автомобильным дорогам тяжеловесного</w:t>
      </w:r>
    </w:p>
    <w:p>
      <w:pPr>
        <w:pStyle w:val="2"/>
        <w:jc w:val="center"/>
      </w:pPr>
      <w:r>
        <w:rPr>
          <w:sz w:val="20"/>
        </w:rPr>
        <w:t xml:space="preserve">и (или) крупногабаритного транспортного средства, включающий</w:t>
      </w:r>
    </w:p>
    <w:p>
      <w:pPr>
        <w:pStyle w:val="2"/>
        <w:jc w:val="center"/>
      </w:pPr>
      <w:r>
        <w:rPr>
          <w:sz w:val="20"/>
        </w:rPr>
        <w:t xml:space="preserve">в том числе срок действия специального разрешения, порядок</w:t>
      </w:r>
    </w:p>
    <w:p>
      <w:pPr>
        <w:pStyle w:val="2"/>
        <w:jc w:val="center"/>
      </w:pPr>
      <w:r>
        <w:rPr>
          <w:sz w:val="20"/>
        </w:rPr>
        <w:t xml:space="preserve">согласования проекта организации дорожного движения</w:t>
      </w:r>
    </w:p>
    <w:p>
      <w:pPr>
        <w:pStyle w:val="2"/>
        <w:jc w:val="center"/>
      </w:pPr>
      <w:r>
        <w:rPr>
          <w:sz w:val="20"/>
        </w:rPr>
        <w:t xml:space="preserve">для маршрута или участка маршрута движения тяжеловесного</w:t>
      </w:r>
    </w:p>
    <w:p>
      <w:pPr>
        <w:pStyle w:val="2"/>
        <w:jc w:val="center"/>
      </w:pPr>
      <w:r>
        <w:rPr>
          <w:sz w:val="20"/>
        </w:rPr>
        <w:t xml:space="preserve">и (или) крупногабаритного транспортного средства, перечня</w:t>
      </w:r>
    </w:p>
    <w:p>
      <w:pPr>
        <w:pStyle w:val="2"/>
        <w:jc w:val="center"/>
      </w:pPr>
      <w:r>
        <w:rPr>
          <w:sz w:val="20"/>
        </w:rPr>
        <w:t xml:space="preserve">мер, направленных на обеспечение возможности движения</w:t>
      </w:r>
    </w:p>
    <w:p>
      <w:pPr>
        <w:pStyle w:val="2"/>
        <w:jc w:val="center"/>
      </w:pPr>
      <w:r>
        <w:rPr>
          <w:sz w:val="20"/>
        </w:rPr>
        <w:t xml:space="preserve">по автомобильной дороге или ее участку тяжеловесного</w:t>
      </w:r>
    </w:p>
    <w:p>
      <w:pPr>
        <w:pStyle w:val="2"/>
        <w:jc w:val="center"/>
      </w:pPr>
      <w:r>
        <w:rPr>
          <w:sz w:val="20"/>
        </w:rPr>
        <w:t xml:space="preserve">и (или) крупногабаритного транспортного средства</w:t>
      </w:r>
    </w:p>
    <w:p>
      <w:pPr>
        <w:pStyle w:val="2"/>
        <w:jc w:val="center"/>
      </w:pPr>
      <w:r>
        <w:rPr>
          <w:sz w:val="20"/>
        </w:rPr>
        <w:t xml:space="preserve">между пунктом отправления и пунктом назначения транспортного</w:t>
      </w:r>
    </w:p>
    <w:p>
      <w:pPr>
        <w:pStyle w:val="2"/>
        <w:jc w:val="center"/>
      </w:pPr>
      <w:r>
        <w:rPr>
          <w:sz w:val="20"/>
        </w:rPr>
        <w:t xml:space="preserve">средства, а также порядок подтверждения владельцем</w:t>
      </w:r>
    </w:p>
    <w:p>
      <w:pPr>
        <w:pStyle w:val="2"/>
        <w:jc w:val="center"/>
      </w:pPr>
      <w:r>
        <w:rPr>
          <w:sz w:val="20"/>
        </w:rPr>
        <w:t xml:space="preserve">автомобильной дороги выполнения заявителем мер, направленных</w:t>
      </w:r>
    </w:p>
    <w:p>
      <w:pPr>
        <w:pStyle w:val="2"/>
        <w:jc w:val="center"/>
      </w:pPr>
      <w:r>
        <w:rPr>
          <w:sz w:val="20"/>
        </w:rPr>
        <w:t xml:space="preserve">на обеспечение возможности движения по автомобильной дороге</w:t>
      </w:r>
    </w:p>
    <w:p>
      <w:pPr>
        <w:pStyle w:val="2"/>
        <w:jc w:val="center"/>
      </w:pPr>
      <w:r>
        <w:rPr>
          <w:sz w:val="20"/>
        </w:rPr>
        <w:t xml:space="preserve">или ее участку тяжеловесного и (или) крупногабаритного</w:t>
      </w:r>
    </w:p>
    <w:p>
      <w:pPr>
        <w:pStyle w:val="2"/>
        <w:jc w:val="center"/>
      </w:pPr>
      <w:r>
        <w:rPr>
          <w:sz w:val="20"/>
        </w:rPr>
        <w:t xml:space="preserve">транспортного средства между пунктом отправления</w:t>
      </w:r>
    </w:p>
    <w:p>
      <w:pPr>
        <w:pStyle w:val="2"/>
        <w:jc w:val="center"/>
      </w:pPr>
      <w:r>
        <w:rPr>
          <w:sz w:val="20"/>
        </w:rPr>
        <w:t xml:space="preserve">и пунктом назначения транспортного средства</w:t>
      </w:r>
    </w:p>
    <w:p>
      <w:pPr>
        <w:pStyle w:val="0"/>
        <w:jc w:val="both"/>
      </w:pPr>
      <w:r>
        <w:rPr>
          <w:sz w:val="20"/>
        </w:rPr>
      </w:r>
    </w:p>
    <w:p>
      <w:pPr>
        <w:pStyle w:val="0"/>
        <w:ind w:firstLine="540"/>
        <w:jc w:val="both"/>
      </w:pPr>
      <w:r>
        <w:rPr>
          <w:sz w:val="20"/>
        </w:rPr>
        <w:t xml:space="preserve">3. Специальное разрешение выдается в электронной форме уполномоченным органом по маршруту движения, указанному в заявлении.</w:t>
      </w:r>
    </w:p>
    <w:p>
      <w:pPr>
        <w:pStyle w:val="0"/>
        <w:spacing w:before="200" w:line-rule="auto"/>
        <w:ind w:firstLine="540"/>
        <w:jc w:val="both"/>
      </w:pPr>
      <w:r>
        <w:rPr>
          <w:sz w:val="20"/>
        </w:rPr>
        <w:t xml:space="preserve">4. Специальное разрешение выдается на движение транспортного средства по определенному маршруту без груза или с грузом на срок, указанный в заявлении, но не более чем на сто тридцать пять календарных дней.</w:t>
      </w:r>
    </w:p>
    <w:p>
      <w:pPr>
        <w:pStyle w:val="0"/>
        <w:spacing w:before="200" w:line-rule="auto"/>
        <w:ind w:firstLine="540"/>
        <w:jc w:val="both"/>
      </w:pPr>
      <w:r>
        <w:rPr>
          <w:sz w:val="20"/>
        </w:rPr>
        <w:t xml:space="preserve">При необходимости проведения внеплановых работ по реконструкции, капитальному ремонту, ремонту и (или) содержанию на автомобильной дороге и (или) пересекающих ее сооружениях и инженерных коммуникациях в пределах согласованного маршрута, действие специального разрешения приостанавливается на время проведения таких работ.</w:t>
      </w:r>
    </w:p>
    <w:p>
      <w:pPr>
        <w:pStyle w:val="0"/>
        <w:spacing w:before="200" w:line-rule="auto"/>
        <w:ind w:firstLine="540"/>
        <w:jc w:val="both"/>
      </w:pPr>
      <w:r>
        <w:rPr>
          <w:sz w:val="20"/>
        </w:rPr>
        <w:t xml:space="preserve">Владелец соответствующей автомобильной дороги (участка автомобильной дороги) в течение часа после наступления обстоятельств, приведших к необходимости проведения внеплановых работ, уведомляет уполномоченный орган с использованием системы выдачи специального разрешения о введении ограничений, связанных с внеплановыми работами, и сроках действия таких ограничений.</w:t>
      </w:r>
    </w:p>
    <w:p>
      <w:pPr>
        <w:pStyle w:val="0"/>
        <w:spacing w:before="200" w:line-rule="auto"/>
        <w:ind w:firstLine="540"/>
        <w:jc w:val="both"/>
      </w:pPr>
      <w:r>
        <w:rPr>
          <w:sz w:val="20"/>
        </w:rPr>
        <w:t xml:space="preserve">Уполномоченный орган уведомляет о приостановлении и возобновлении действия специального разрешения владельца транспортного средства посредством личного кабинета перевозчика.</w:t>
      </w:r>
    </w:p>
    <w:p>
      <w:pPr>
        <w:pStyle w:val="0"/>
        <w:spacing w:before="200" w:line-rule="auto"/>
        <w:ind w:firstLine="540"/>
        <w:jc w:val="both"/>
      </w:pPr>
      <w:r>
        <w:rPr>
          <w:sz w:val="20"/>
        </w:rPr>
        <w:t xml:space="preserve">В случае движения крупногабаритной сельскохозяйственной техники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указанный в заявлении, но не более чем на девять месяцев.</w:t>
      </w:r>
    </w:p>
    <w:p>
      <w:pPr>
        <w:pStyle w:val="0"/>
        <w:spacing w:before="200" w:line-rule="auto"/>
        <w:ind w:firstLine="540"/>
        <w:jc w:val="both"/>
      </w:pPr>
      <w:r>
        <w:rPr>
          <w:sz w:val="20"/>
        </w:rPr>
        <w:t xml:space="preserve">5.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w:t>
      </w:r>
    </w:p>
    <w:bookmarkStart w:id="93" w:name="P93"/>
    <w:bookmarkEnd w:id="93"/>
    <w:p>
      <w:pPr>
        <w:pStyle w:val="0"/>
        <w:spacing w:before="200" w:line-rule="auto"/>
        <w:ind w:firstLine="540"/>
        <w:jc w:val="both"/>
      </w:pPr>
      <w:r>
        <w:rPr>
          <w:sz w:val="20"/>
        </w:rPr>
        <w:t xml:space="preserve">6. За выдачу специального разрешения должна быть уплачена государственная пошлина, установленная </w:t>
      </w:r>
      <w:hyperlink w:history="0" r:id="rId15"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333.33</w:t>
        </w:r>
      </w:hyperlink>
      <w:r>
        <w:rPr>
          <w:sz w:val="20"/>
        </w:rPr>
        <w:t xml:space="preserve"> Налогового кодекса Российской Федерации, после подачи заявления, но до принятия его к рассмотрению.</w:t>
      </w:r>
    </w:p>
    <w:p>
      <w:pPr>
        <w:pStyle w:val="0"/>
        <w:jc w:val="both"/>
      </w:pPr>
      <w:r>
        <w:rPr>
          <w:sz w:val="20"/>
        </w:rPr>
      </w:r>
    </w:p>
    <w:p>
      <w:pPr>
        <w:pStyle w:val="2"/>
        <w:outlineLvl w:val="2"/>
        <w:jc w:val="center"/>
      </w:pPr>
      <w:r>
        <w:rPr>
          <w:sz w:val="20"/>
        </w:rPr>
        <w:t xml:space="preserve">Подача заявления</w:t>
      </w:r>
    </w:p>
    <w:p>
      <w:pPr>
        <w:pStyle w:val="0"/>
        <w:jc w:val="both"/>
      </w:pPr>
      <w:r>
        <w:rPr>
          <w:sz w:val="20"/>
        </w:rPr>
      </w:r>
    </w:p>
    <w:p>
      <w:pPr>
        <w:pStyle w:val="0"/>
        <w:ind w:firstLine="540"/>
        <w:jc w:val="both"/>
      </w:pPr>
      <w:r>
        <w:rPr>
          <w:sz w:val="20"/>
        </w:rPr>
        <w:t xml:space="preserve">7. Заявление и документы, предусмотренные настоящими Правилами и необходимые для получения специального разрешения, подаются по выбору заявителя посредством личного кабинета перевозчика или единого портала.</w:t>
      </w:r>
    </w:p>
    <w:p>
      <w:pPr>
        <w:pStyle w:val="0"/>
        <w:spacing w:before="200" w:line-rule="auto"/>
        <w:ind w:firstLine="540"/>
        <w:jc w:val="both"/>
      </w:pPr>
      <w:r>
        <w:rPr>
          <w:sz w:val="20"/>
        </w:rPr>
        <w:t xml:space="preserve">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и документы, предусмотренные настоящими Правилами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w:t>
      </w:r>
    </w:p>
    <w:p>
      <w:pPr>
        <w:pStyle w:val="0"/>
        <w:spacing w:before="200" w:line-rule="auto"/>
        <w:ind w:firstLine="540"/>
        <w:jc w:val="both"/>
      </w:pPr>
      <w:r>
        <w:rPr>
          <w:sz w:val="20"/>
        </w:rPr>
        <w:t xml:space="preserve">Орган местного самоуправления муниципального района, получивший заявление и документы, предусмотренные настоящими Правилами и необходимые для получения специального разрешения, вносит эти заявление и документы в систему выдачи специального разрешения путем создания личного кабинета перевозчика для заявителя.</w:t>
      </w:r>
    </w:p>
    <w:p>
      <w:pPr>
        <w:pStyle w:val="0"/>
        <w:spacing w:before="200" w:line-rule="auto"/>
        <w:ind w:firstLine="540"/>
        <w:jc w:val="both"/>
      </w:pPr>
      <w:r>
        <w:rPr>
          <w:sz w:val="20"/>
        </w:rPr>
        <w:t xml:space="preserve">Доступ к личному кабинету перевозчика граждан Российской Федерации и зарегистрированных в Российской Федерации юридических лиц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соответствии с </w:t>
      </w:r>
      <w:hyperlink w:history="0" r:id="rId16" w:tooltip="Постановление Правительства РФ от 10.07.2013 N 584 (ред. от 22.04.2024)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положениями</w:t>
        </w:r>
      </w:hyperlink>
      <w:r>
        <w:rPr>
          <w:sz w:val="20"/>
        </w:rPr>
        <w:t xml:space="preserve"> постановления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 случае подачи заявления посредством единого портала оно подписывается заявителем простой электронной подписью,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8. В заявлении указываются:</w:t>
      </w:r>
    </w:p>
    <w:p>
      <w:pPr>
        <w:pStyle w:val="0"/>
        <w:spacing w:before="200" w:line-rule="auto"/>
        <w:ind w:firstLine="540"/>
        <w:jc w:val="both"/>
      </w:pPr>
      <w:r>
        <w:rPr>
          <w:sz w:val="20"/>
        </w:rPr>
        <w:t xml:space="preserve">а) информация о заявителе: полное наименование, организационно-правовая форма и адрес в пределах места нахождения -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 телефон и адрес электронной почты;</w:t>
      </w:r>
    </w:p>
    <w:p>
      <w:pPr>
        <w:pStyle w:val="0"/>
        <w:spacing w:before="200" w:line-rule="auto"/>
        <w:ind w:firstLine="540"/>
        <w:jc w:val="both"/>
      </w:pPr>
      <w:r>
        <w:rPr>
          <w:sz w:val="20"/>
        </w:rPr>
        <w:t xml:space="preserve">б) 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pPr>
        <w:pStyle w:val="0"/>
        <w:spacing w:before="200" w:line-rule="auto"/>
        <w:ind w:firstLine="540"/>
        <w:jc w:val="both"/>
      </w:pPr>
      <w:r>
        <w:rPr>
          <w:sz w:val="20"/>
        </w:rPr>
        <w:t xml:space="preserve">в) код налогоплательщика в стране регистрации - для заявителей, зарегистрированных за пределами Российской Федерации;</w:t>
      </w:r>
    </w:p>
    <w:p>
      <w:pPr>
        <w:pStyle w:val="0"/>
        <w:spacing w:before="200" w:line-rule="auto"/>
        <w:ind w:firstLine="540"/>
        <w:jc w:val="both"/>
      </w:pPr>
      <w:r>
        <w:rPr>
          <w:sz w:val="20"/>
        </w:rPr>
        <w:t xml:space="preserve">г) маршрут движения (пункт отправления и пункт назначения без указания промежуточных пунктов);</w:t>
      </w:r>
    </w:p>
    <w:p>
      <w:pPr>
        <w:pStyle w:val="0"/>
        <w:spacing w:before="200" w:line-rule="auto"/>
        <w:ind w:firstLine="540"/>
        <w:jc w:val="both"/>
      </w:pPr>
      <w:r>
        <w:rPr>
          <w:sz w:val="20"/>
        </w:rPr>
        <w:t xml:space="preserve">д) вид перевозки (внутрироссийская, международная);</w:t>
      </w:r>
    </w:p>
    <w:p>
      <w:pPr>
        <w:pStyle w:val="0"/>
        <w:spacing w:before="200" w:line-rule="auto"/>
        <w:ind w:firstLine="540"/>
        <w:jc w:val="both"/>
      </w:pPr>
      <w:r>
        <w:rPr>
          <w:sz w:val="20"/>
        </w:rPr>
        <w:t xml:space="preserve">е) срок выполнения поездок;</w:t>
      </w:r>
    </w:p>
    <w:p>
      <w:pPr>
        <w:pStyle w:val="0"/>
        <w:spacing w:before="200" w:line-rule="auto"/>
        <w:ind w:firstLine="540"/>
        <w:jc w:val="both"/>
      </w:pPr>
      <w:r>
        <w:rPr>
          <w:sz w:val="20"/>
        </w:rPr>
        <w:t xml:space="preserve">ж) планируемое количество поездок (не учитывается для крупногабаритных транспортных средств);</w:t>
      </w:r>
    </w:p>
    <w:p>
      <w:pPr>
        <w:pStyle w:val="0"/>
        <w:spacing w:before="200" w:line-rule="auto"/>
        <w:ind w:firstLine="540"/>
        <w:jc w:val="both"/>
      </w:pPr>
      <w:r>
        <w:rPr>
          <w:sz w:val="20"/>
        </w:rPr>
        <w:t xml:space="preserve">з) характеристика груза (при наличии груза) (габариты (длина, ширина, высота), масса, делимость (делимый, неделимый, делимый в контейнере (при международной перевозке);</w:t>
      </w:r>
    </w:p>
    <w:p>
      <w:pPr>
        <w:pStyle w:val="0"/>
        <w:spacing w:before="200" w:line-rule="auto"/>
        <w:ind w:firstLine="540"/>
        <w:jc w:val="both"/>
      </w:pPr>
      <w:r>
        <w:rPr>
          <w:sz w:val="20"/>
        </w:rPr>
        <w:t xml:space="preserve">и) сведения о транспортном средстве: марка, модель, государственный регистрационный номер, идентификационный номер, страна регистрации;</w:t>
      </w:r>
    </w:p>
    <w:p>
      <w:pPr>
        <w:pStyle w:val="0"/>
        <w:spacing w:before="200" w:line-rule="auto"/>
        <w:ind w:firstLine="540"/>
        <w:jc w:val="both"/>
      </w:pPr>
      <w:r>
        <w:rPr>
          <w:sz w:val="20"/>
        </w:rPr>
        <w:t xml:space="preserve">к)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в случае движения крупногабаритной сельскохозяйственной техники с прицепным оборудованием - наименование, габариты (длина, ширина, высота), масса такого оборудования;</w:t>
      </w:r>
    </w:p>
    <w:p>
      <w:pPr>
        <w:pStyle w:val="0"/>
        <w:spacing w:before="200" w:line-rule="auto"/>
        <w:ind w:firstLine="540"/>
        <w:jc w:val="both"/>
      </w:pPr>
      <w:r>
        <w:rPr>
          <w:sz w:val="20"/>
        </w:rPr>
        <w:t xml:space="preserve">л) предполагаемая максимальная скорость движения транспортного средства (автопоезда), км/ч;</w:t>
      </w:r>
    </w:p>
    <w:p>
      <w:pPr>
        <w:pStyle w:val="0"/>
        <w:spacing w:before="200" w:line-rule="auto"/>
        <w:ind w:firstLine="540"/>
        <w:jc w:val="both"/>
      </w:pPr>
      <w:r>
        <w:rPr>
          <w:sz w:val="20"/>
        </w:rPr>
        <w:t xml:space="preserve">м) сведения о допуске российского перевозчика к осуществлению международных автомобильных перевозок (регистрационный номер записи в реестре российских перевозчиков, допущенных к осуществлению международных автомобильных перевозок, срок действия допуска) - при осуществлении международной автомобильной перевозки грузов.</w:t>
      </w:r>
    </w:p>
    <w:p>
      <w:pPr>
        <w:pStyle w:val="0"/>
        <w:spacing w:before="200" w:line-rule="auto"/>
        <w:ind w:firstLine="540"/>
        <w:jc w:val="both"/>
      </w:pPr>
      <w:r>
        <w:rPr>
          <w:sz w:val="20"/>
        </w:rPr>
        <w:t xml:space="preserve">9. Номер и дата присваиваются уполномоченным органом заявлению после его регистрации.</w:t>
      </w:r>
    </w:p>
    <w:p>
      <w:pPr>
        <w:pStyle w:val="0"/>
        <w:spacing w:before="200" w:line-rule="auto"/>
        <w:ind w:firstLine="540"/>
        <w:jc w:val="both"/>
      </w:pPr>
      <w:r>
        <w:rPr>
          <w:sz w:val="20"/>
        </w:rPr>
        <w:t xml:space="preserve">Дата начала выполнения поездок, указываемая в заявлении, не должна быть позднее сорока пяти дней со дня подачи заявления.</w:t>
      </w:r>
    </w:p>
    <w:p>
      <w:pPr>
        <w:pStyle w:val="0"/>
        <w:spacing w:before="200" w:line-rule="auto"/>
        <w:ind w:firstLine="540"/>
        <w:jc w:val="both"/>
      </w:pPr>
      <w:r>
        <w:rPr>
          <w:sz w:val="20"/>
        </w:rPr>
        <w:t xml:space="preserve">Заявление оформляется в электронном виде на русском языке машинописным текстом (наименования марок и моделей транспортных средств, их государственных регистрационных номеров допускается оформлять буквами латинского алфавита).</w:t>
      </w:r>
    </w:p>
    <w:p>
      <w:pPr>
        <w:pStyle w:val="0"/>
        <w:spacing w:before="200" w:line-rule="auto"/>
        <w:ind w:firstLine="540"/>
        <w:jc w:val="both"/>
      </w:pPr>
      <w:r>
        <w:rPr>
          <w:sz w:val="20"/>
        </w:rPr>
        <w:t xml:space="preserve">Взаимодействие с заявителем осуществляется с использованием личного кабинета перевозчика или единого портала в зависимости от способа подачи заявления.</w:t>
      </w:r>
    </w:p>
    <w:p>
      <w:pPr>
        <w:pStyle w:val="0"/>
        <w:spacing w:before="200" w:line-rule="auto"/>
        <w:ind w:firstLine="540"/>
        <w:jc w:val="both"/>
      </w:pPr>
      <w:r>
        <w:rPr>
          <w:sz w:val="20"/>
        </w:rPr>
        <w:t xml:space="preserve">10. К заявлению прилагаются:</w:t>
      </w:r>
    </w:p>
    <w:p>
      <w:pPr>
        <w:pStyle w:val="0"/>
        <w:spacing w:before="200" w:line-rule="auto"/>
        <w:ind w:firstLine="540"/>
        <w:jc w:val="both"/>
      </w:pPr>
      <w:r>
        <w:rPr>
          <w:sz w:val="20"/>
        </w:rPr>
        <w:t xml:space="preserve">а)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 для транспортных средств, зарегистрированных органами государственного надзора за техническим состоянием самоходных машин и других видов техники, а также зарегистрированных за пределами Российской Федерации;</w:t>
      </w:r>
    </w:p>
    <w:p>
      <w:pPr>
        <w:pStyle w:val="0"/>
        <w:spacing w:before="200" w:line-rule="auto"/>
        <w:ind w:firstLine="540"/>
        <w:jc w:val="both"/>
      </w:pPr>
      <w:r>
        <w:rPr>
          <w:sz w:val="20"/>
        </w:rPr>
        <w:t xml:space="preserve">б) схема тяжеловесного и (или) крупногабаритного транспортного средства (автопоезда) с изображением размещения груза (при наличии груза) (формируется автоматически системой выдачи специального разрешения или единым порталом на основании данных о транспортных средствах и грузе, в случае параллельного расположения транспортных средств в автопоезде схема прикладывается заявителем). На схеме изображаются транспортное средство, планируемое к участию в перевозке, его габариты с грузом и крепежными элементами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pPr>
        <w:pStyle w:val="0"/>
        <w:spacing w:before="200" w:line-rule="auto"/>
        <w:ind w:firstLine="540"/>
        <w:jc w:val="both"/>
      </w:pPr>
      <w:r>
        <w:rPr>
          <w:sz w:val="20"/>
        </w:rPr>
        <w:t xml:space="preserve">11. В случае подачи заявления представителем лица, в интересах которого осуществляется выдача специального разрешения, к заявлению также прилагается копия документа, подтверждающего его полномочия.</w:t>
      </w:r>
    </w:p>
    <w:p>
      <w:pPr>
        <w:pStyle w:val="0"/>
        <w:spacing w:before="200" w:line-rule="auto"/>
        <w:ind w:firstLine="540"/>
        <w:jc w:val="both"/>
      </w:pPr>
      <w:r>
        <w:rPr>
          <w:sz w:val="20"/>
        </w:rPr>
        <w:t xml:space="preserve">12. После уплаты государственной пошлины в соответствии с </w:t>
      </w:r>
      <w:hyperlink w:history="0" w:anchor="P93" w:tooltip="6. За выдачу специального разрешения должна быть уплачена государственная пошлина, установленная статьей 333.33 Налогового кодекса Российской Федерации, после подачи заявления, но до принятия его к рассмотрению.">
        <w:r>
          <w:rPr>
            <w:sz w:val="20"/>
            <w:color w:val="0000ff"/>
          </w:rPr>
          <w:t xml:space="preserve">пунктом 6</w:t>
        </w:r>
      </w:hyperlink>
      <w:r>
        <w:rPr>
          <w:sz w:val="20"/>
        </w:rPr>
        <w:t xml:space="preserve"> настоящих Правил заявление регистрируется в системе выдачи специального разрешения.</w:t>
      </w:r>
    </w:p>
    <w:p>
      <w:pPr>
        <w:pStyle w:val="0"/>
        <w:spacing w:before="200" w:line-rule="auto"/>
        <w:ind w:firstLine="540"/>
        <w:jc w:val="both"/>
      </w:pPr>
      <w:r>
        <w:rPr>
          <w:sz w:val="20"/>
        </w:rPr>
        <w:t xml:space="preserve">13. До получения специального разрешения заявление может быть отозвано заявителем по его инициативе.</w:t>
      </w:r>
    </w:p>
    <w:p>
      <w:pPr>
        <w:pStyle w:val="0"/>
        <w:jc w:val="both"/>
      </w:pPr>
      <w:r>
        <w:rPr>
          <w:sz w:val="20"/>
        </w:rPr>
      </w:r>
    </w:p>
    <w:p>
      <w:pPr>
        <w:pStyle w:val="2"/>
        <w:outlineLvl w:val="2"/>
        <w:jc w:val="center"/>
      </w:pPr>
      <w:r>
        <w:rPr>
          <w:sz w:val="20"/>
        </w:rPr>
        <w:t xml:space="preserve">Порядок доступа к личному кабинету перевозчика российских</w:t>
      </w:r>
    </w:p>
    <w:p>
      <w:pPr>
        <w:pStyle w:val="2"/>
        <w:jc w:val="center"/>
      </w:pPr>
      <w:r>
        <w:rPr>
          <w:sz w:val="20"/>
        </w:rPr>
        <w:t xml:space="preserve">или иностранных заявителей</w:t>
      </w:r>
    </w:p>
    <w:p>
      <w:pPr>
        <w:pStyle w:val="0"/>
        <w:jc w:val="both"/>
      </w:pPr>
      <w:r>
        <w:rPr>
          <w:sz w:val="20"/>
        </w:rPr>
      </w:r>
    </w:p>
    <w:p>
      <w:pPr>
        <w:pStyle w:val="0"/>
        <w:ind w:firstLine="540"/>
        <w:jc w:val="both"/>
      </w:pPr>
      <w:r>
        <w:rPr>
          <w:sz w:val="20"/>
        </w:rPr>
        <w:t xml:space="preserve">14. Для подачи заявления посредством личного кабинета перевозчика необходимо зарегистрировать учетную запись.</w:t>
      </w:r>
    </w:p>
    <w:p>
      <w:pPr>
        <w:pStyle w:val="0"/>
        <w:spacing w:before="200" w:line-rule="auto"/>
        <w:ind w:firstLine="540"/>
        <w:jc w:val="both"/>
      </w:pPr>
      <w:r>
        <w:rPr>
          <w:sz w:val="20"/>
        </w:rPr>
        <w:t xml:space="preserve">15. При регистрации учетной записи в личном кабинете перевозчика необходимо указать следующую информацию:</w:t>
      </w:r>
    </w:p>
    <w:p>
      <w:pPr>
        <w:pStyle w:val="0"/>
        <w:spacing w:before="200" w:line-rule="auto"/>
        <w:ind w:firstLine="540"/>
        <w:jc w:val="both"/>
      </w:pPr>
      <w:r>
        <w:rPr>
          <w:sz w:val="20"/>
        </w:rPr>
        <w:t xml:space="preserve">а) номер телефона;</w:t>
      </w:r>
    </w:p>
    <w:p>
      <w:pPr>
        <w:pStyle w:val="0"/>
        <w:spacing w:before="200" w:line-rule="auto"/>
        <w:ind w:firstLine="540"/>
        <w:jc w:val="both"/>
      </w:pPr>
      <w:r>
        <w:rPr>
          <w:sz w:val="20"/>
        </w:rPr>
        <w:t xml:space="preserve">б) электронная почта;</w:t>
      </w:r>
    </w:p>
    <w:p>
      <w:pPr>
        <w:pStyle w:val="0"/>
        <w:spacing w:before="200" w:line-rule="auto"/>
        <w:ind w:firstLine="540"/>
        <w:jc w:val="both"/>
      </w:pPr>
      <w:r>
        <w:rPr>
          <w:sz w:val="20"/>
        </w:rPr>
        <w:t xml:space="preserve">в) полное наименование, организационно-правовая форма и адрес в пределах места нахождения -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w:t>
      </w:r>
    </w:p>
    <w:p>
      <w:pPr>
        <w:pStyle w:val="0"/>
        <w:spacing w:before="200" w:line-rule="auto"/>
        <w:ind w:firstLine="540"/>
        <w:jc w:val="both"/>
      </w:pPr>
      <w:r>
        <w:rPr>
          <w:sz w:val="20"/>
        </w:rPr>
        <w:t xml:space="preserve">г) 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pPr>
        <w:pStyle w:val="0"/>
        <w:spacing w:before="200" w:line-rule="auto"/>
        <w:ind w:firstLine="540"/>
        <w:jc w:val="both"/>
      </w:pPr>
      <w:r>
        <w:rPr>
          <w:sz w:val="20"/>
        </w:rPr>
        <w:t xml:space="preserve">д) код налогоплательщика в стране регистрации - для заявителей, зарегистрированных за пределами Российской Федерации.</w:t>
      </w:r>
    </w:p>
    <w:p>
      <w:pPr>
        <w:pStyle w:val="0"/>
        <w:spacing w:before="200" w:line-rule="auto"/>
        <w:ind w:firstLine="540"/>
        <w:jc w:val="both"/>
      </w:pPr>
      <w:r>
        <w:rPr>
          <w:sz w:val="20"/>
        </w:rPr>
        <w:t xml:space="preserve">16. В случае доступа к личному кабинету перевозчика посредством единой системы идентификации и аутентификации сведения, содержащиеся в единой системе идентификации и аутентификации, повторно не вносятся.</w:t>
      </w:r>
    </w:p>
    <w:p>
      <w:pPr>
        <w:pStyle w:val="0"/>
        <w:spacing w:before="200" w:line-rule="auto"/>
        <w:ind w:firstLine="540"/>
        <w:jc w:val="both"/>
      </w:pPr>
      <w:r>
        <w:rPr>
          <w:sz w:val="20"/>
        </w:rPr>
        <w:t xml:space="preserve">17. Проверка сведений, указанных при регистрации, осуществляется в автоматическом режиме на этапе регистрации учетной записи в личном кабинете перевозчика с использованием единой системы межведомственного электронного взаимодействия (далее - единая система).</w:t>
      </w:r>
    </w:p>
    <w:p>
      <w:pPr>
        <w:pStyle w:val="0"/>
        <w:spacing w:before="200" w:line-rule="auto"/>
        <w:ind w:firstLine="540"/>
        <w:jc w:val="both"/>
      </w:pPr>
      <w:r>
        <w:rPr>
          <w:sz w:val="20"/>
        </w:rPr>
        <w:t xml:space="preserve">В случае невозможности осуществления проверки сведений, указанных заявителем при регистрации, с использованием единой системы их проверка осуществляется оператором единой системы на основании загруженных в личном кабинете перевозчика копий документов в течение трех рабочих дней с момента поступления заявки на регистрацию личного кабинета перевозчика оператору системы.</w:t>
      </w:r>
    </w:p>
    <w:p>
      <w:pPr>
        <w:pStyle w:val="0"/>
        <w:spacing w:before="200" w:line-rule="auto"/>
        <w:ind w:firstLine="540"/>
        <w:jc w:val="both"/>
      </w:pPr>
      <w:r>
        <w:rPr>
          <w:sz w:val="20"/>
        </w:rPr>
        <w:t xml:space="preserve">В случае внесения заявителем изменений в сведения, хранящиеся в личном кабинете перевозчика, проводится повторная проверка данных.</w:t>
      </w:r>
    </w:p>
    <w:p>
      <w:pPr>
        <w:pStyle w:val="0"/>
        <w:spacing w:before="200" w:line-rule="auto"/>
        <w:ind w:firstLine="540"/>
        <w:jc w:val="both"/>
      </w:pPr>
      <w:r>
        <w:rPr>
          <w:sz w:val="20"/>
        </w:rPr>
        <w:t xml:space="preserve">Подача заявления при наличии непроверенных сведений в личном кабинете перевозчика не допускается.</w:t>
      </w:r>
    </w:p>
    <w:p>
      <w:pPr>
        <w:pStyle w:val="0"/>
        <w:jc w:val="both"/>
      </w:pPr>
      <w:r>
        <w:rPr>
          <w:sz w:val="20"/>
        </w:rPr>
      </w:r>
    </w:p>
    <w:p>
      <w:pPr>
        <w:pStyle w:val="2"/>
        <w:outlineLvl w:val="2"/>
        <w:jc w:val="center"/>
      </w:pPr>
      <w:r>
        <w:rPr>
          <w:sz w:val="20"/>
        </w:rPr>
        <w:t xml:space="preserve">Рассмотрение заявления</w:t>
      </w:r>
    </w:p>
    <w:p>
      <w:pPr>
        <w:pStyle w:val="0"/>
        <w:jc w:val="both"/>
      </w:pPr>
      <w:r>
        <w:rPr>
          <w:sz w:val="20"/>
        </w:rPr>
      </w:r>
    </w:p>
    <w:p>
      <w:pPr>
        <w:pStyle w:val="0"/>
        <w:ind w:firstLine="540"/>
        <w:jc w:val="both"/>
      </w:pPr>
      <w:r>
        <w:rPr>
          <w:sz w:val="20"/>
        </w:rPr>
        <w:t xml:space="preserve">18. Маршрут движения устанавливается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на основании сведений, внесенных владельцами автомобильных дорог в систему выдачи специального разрешения.</w:t>
      </w:r>
    </w:p>
    <w:p>
      <w:pPr>
        <w:pStyle w:val="0"/>
        <w:spacing w:before="200" w:line-rule="auto"/>
        <w:ind w:firstLine="540"/>
        <w:jc w:val="both"/>
      </w:pPr>
      <w:r>
        <w:rPr>
          <w:sz w:val="20"/>
        </w:rPr>
        <w:t xml:space="preserve">Заявителю может быть предложено несколько маршрутов на выбор.</w:t>
      </w:r>
    </w:p>
    <w:p>
      <w:pPr>
        <w:pStyle w:val="0"/>
        <w:spacing w:before="200" w:line-rule="auto"/>
        <w:ind w:firstLine="540"/>
        <w:jc w:val="both"/>
      </w:pPr>
      <w:r>
        <w:rPr>
          <w:sz w:val="20"/>
        </w:rPr>
        <w:t xml:space="preserve">Установленный системой выдачи специального разрешения маршрут движения согласовывается (подтверждается) заявителем.</w:t>
      </w:r>
    </w:p>
    <w:p>
      <w:pPr>
        <w:pStyle w:val="0"/>
        <w:spacing w:before="200" w:line-rule="auto"/>
        <w:ind w:firstLine="540"/>
        <w:jc w:val="both"/>
      </w:pPr>
      <w:r>
        <w:rPr>
          <w:sz w:val="20"/>
        </w:rPr>
        <w:t xml:space="preserve">В случае если объем сведений, внесенных владельцами автомобильных дорог в систему выдачи специального разрешения, не позволяет ей установить маршрут движения, уполномоченный орган в срок, не превышающий одного рабочего дня с момента регистрации заявления в системе выдачи специального разрешения, вносит в нее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bookmarkStart w:id="148" w:name="P148"/>
    <w:bookmarkEnd w:id="148"/>
    <w:p>
      <w:pPr>
        <w:pStyle w:val="0"/>
        <w:spacing w:before="200" w:line-rule="auto"/>
        <w:ind w:firstLine="540"/>
        <w:jc w:val="both"/>
      </w:pPr>
      <w:r>
        <w:rPr>
          <w:sz w:val="20"/>
        </w:rPr>
        <w:t xml:space="preserve">19. Установление необходимости разработки проекта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(далее - перечень мер, меры), а также принятия мер производится системой выдачи специального разрешения одновременно с установлением маршрута движения в соответствии с </w:t>
      </w:r>
      <w:hyperlink w:history="0" r:id="rId17"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частями 15</w:t>
        </w:r>
      </w:hyperlink>
      <w:r>
        <w:rPr>
          <w:sz w:val="20"/>
        </w:rPr>
        <w:t xml:space="preserve"> и </w:t>
      </w:r>
      <w:hyperlink w:history="0" r:id="rId18"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16 статьи 31</w:t>
        </w:r>
      </w:hyperlink>
      <w:r>
        <w:rPr>
          <w:sz w:val="20"/>
        </w:rPr>
        <w:t xml:space="preserve"> Федерального закона.</w:t>
      </w:r>
    </w:p>
    <w:p>
      <w:pPr>
        <w:pStyle w:val="0"/>
        <w:jc w:val="both"/>
      </w:pPr>
      <w:r>
        <w:rPr>
          <w:sz w:val="20"/>
        </w:rPr>
      </w:r>
    </w:p>
    <w:p>
      <w:pPr>
        <w:pStyle w:val="2"/>
        <w:outlineLvl w:val="2"/>
        <w:jc w:val="center"/>
      </w:pPr>
      <w:r>
        <w:rPr>
          <w:sz w:val="20"/>
        </w:rPr>
        <w:t xml:space="preserve">Согласование проекта организации дорожного движения,</w:t>
      </w:r>
    </w:p>
    <w:p>
      <w:pPr>
        <w:pStyle w:val="2"/>
        <w:jc w:val="center"/>
      </w:pPr>
      <w:r>
        <w:rPr>
          <w:sz w:val="20"/>
        </w:rPr>
        <w:t xml:space="preserve">перечня мер, а также порядок подтверждения владельцем</w:t>
      </w:r>
    </w:p>
    <w:p>
      <w:pPr>
        <w:pStyle w:val="2"/>
        <w:jc w:val="center"/>
      </w:pPr>
      <w:r>
        <w:rPr>
          <w:sz w:val="20"/>
        </w:rPr>
        <w:t xml:space="preserve">автомобильной дороги выполнения заявителем мер</w:t>
      </w:r>
    </w:p>
    <w:p>
      <w:pPr>
        <w:pStyle w:val="0"/>
        <w:jc w:val="both"/>
      </w:pPr>
      <w:r>
        <w:rPr>
          <w:sz w:val="20"/>
        </w:rPr>
      </w:r>
    </w:p>
    <w:p>
      <w:pPr>
        <w:pStyle w:val="0"/>
        <w:ind w:firstLine="540"/>
        <w:jc w:val="both"/>
      </w:pPr>
      <w:r>
        <w:rPr>
          <w:sz w:val="20"/>
        </w:rPr>
        <w:t xml:space="preserve">20. При поступлении заявителю информации, указанной в </w:t>
      </w:r>
      <w:hyperlink w:history="0" w:anchor="P148" w:tooltip="19. Установление необходимости разработки проекта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далее - перечень мер, меры), а также принятия мер производится системой выдачи специального разрешения одновременно с установлением маршрута движения в соответствии с частями 15 и 16 статьи 31...">
        <w:r>
          <w:rPr>
            <w:sz w:val="20"/>
            <w:color w:val="0000ff"/>
          </w:rPr>
          <w:t xml:space="preserve">пункте 19</w:t>
        </w:r>
      </w:hyperlink>
      <w:r>
        <w:rPr>
          <w:sz w:val="20"/>
        </w:rPr>
        <w:t xml:space="preserve"> настоящих Правил, заявитель в течение пяти рабочих дней со дня поступления такой информации должен посредством личного кабинета перевозчика или единого портала (в случае подачи заявления через единый портал) уведомить уполномоченный орган о согласии на предоставление проекта организации дорожного движения и (или) принятие мер.</w:t>
      </w:r>
    </w:p>
    <w:p>
      <w:pPr>
        <w:pStyle w:val="0"/>
        <w:spacing w:before="200" w:line-rule="auto"/>
        <w:ind w:firstLine="540"/>
        <w:jc w:val="both"/>
      </w:pPr>
      <w:r>
        <w:rPr>
          <w:sz w:val="20"/>
        </w:rPr>
        <w:t xml:space="preserve">После получения уведомления от заявителя уполномоченный орган незамедлительно в автоматическом режиме посредством системы выдачи специального разрешения уведомляет соответствующего владельца автомобильной дороги (участка автомобильной дороги) о согласии заявителя на представление проекта организации дорожного движения, перечня мер и (или) принятие мер.</w:t>
      </w:r>
    </w:p>
    <w:p>
      <w:pPr>
        <w:pStyle w:val="0"/>
        <w:spacing w:before="200" w:line-rule="auto"/>
        <w:ind w:firstLine="540"/>
        <w:jc w:val="both"/>
      </w:pPr>
      <w:r>
        <w:rPr>
          <w:sz w:val="20"/>
        </w:rPr>
        <w:t xml:space="preserve">21. Разработка проекта организации дорожного движения, перечня мер и (или) принятие мер обеспечиваются заявителем.</w:t>
      </w:r>
    </w:p>
    <w:p>
      <w:pPr>
        <w:pStyle w:val="0"/>
        <w:spacing w:before="200" w:line-rule="auto"/>
        <w:ind w:firstLine="540"/>
        <w:jc w:val="both"/>
      </w:pPr>
      <w:r>
        <w:rPr>
          <w:sz w:val="20"/>
        </w:rPr>
        <w:t xml:space="preserve">22. Согласование проекта организации дорожного движения, перечня мер осуществляется владельцами автомобильных дорог, по которым проходит маршрут или участок маршрута, посредством системы выдачи специального разрешения.</w:t>
      </w:r>
    </w:p>
    <w:p>
      <w:pPr>
        <w:pStyle w:val="0"/>
        <w:spacing w:before="200" w:line-rule="auto"/>
        <w:ind w:firstLine="540"/>
        <w:jc w:val="both"/>
      </w:pPr>
      <w:r>
        <w:rPr>
          <w:sz w:val="20"/>
        </w:rPr>
        <w:t xml:space="preserve">Согласование проекта организации дорожного движения осуществляется подразделениями Государственной инспекции безопасности дорожного движения Министерства внутренних дел Российской Федерации на региональном уровне, по территории обслуживания которых проходит указанный в проекте организации дорожного движения, перечне мер маршрут или участок маршрута, а в случае движения транспортного средства в международном сообщении - Центром специального назначения в области обеспечения безопасности дорожного движения Министерства внутренних дел Российской Федерации (далее - подразделения Госавтоинспекции) посредством удаленного рабочего места в системе выдачи специального разрешения, доступ к которому в соответствии со </w:t>
      </w:r>
      <w:hyperlink w:history="0" r:id="rId19"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31.2</w:t>
        </w:r>
      </w:hyperlink>
      <w:r>
        <w:rPr>
          <w:sz w:val="20"/>
        </w:rPr>
        <w:t xml:space="preserve"> Федерального закона обеспечивается оператором системы выдачи специального разрешения на основании заявки подразделений Госавтоинспекции.</w:t>
      </w:r>
    </w:p>
    <w:p>
      <w:pPr>
        <w:pStyle w:val="0"/>
        <w:spacing w:before="200" w:line-rule="auto"/>
        <w:ind w:firstLine="540"/>
        <w:jc w:val="both"/>
      </w:pPr>
      <w:r>
        <w:rPr>
          <w:sz w:val="20"/>
        </w:rPr>
        <w:t xml:space="preserve">Согласование проекта организации дорожного движения подразделениями Госавтоинспекции осуществляется после согласования проекта организации дорожного движения, перечня мер владельцами автомобильных дорог.</w:t>
      </w:r>
    </w:p>
    <w:p>
      <w:pPr>
        <w:pStyle w:val="0"/>
        <w:spacing w:before="200" w:line-rule="auto"/>
        <w:ind w:firstLine="540"/>
        <w:jc w:val="both"/>
      </w:pPr>
      <w:r>
        <w:rPr>
          <w:sz w:val="20"/>
        </w:rPr>
        <w:t xml:space="preserve">23. Подтверждение владельцем автомобильной дороги выполнения заявителем перечня мер производится путем уведомления уполномоченного органа посредством удаленного рабочего места владельца автомобильной дороги в системе выдачи специального разрешения, доступ к которому осуществляется через официальный сайт оператора системы выдачи специального разрешения, после фактического их выполнения и (или) представления письменной гарантии выполнения мер, определенных владельцами пересекающих автомобильную дорогу инженерных коммуникаций.</w:t>
      </w:r>
    </w:p>
    <w:p>
      <w:pPr>
        <w:pStyle w:val="0"/>
        <w:spacing w:before="200" w:line-rule="auto"/>
        <w:ind w:firstLine="540"/>
        <w:jc w:val="both"/>
      </w:pPr>
      <w:r>
        <w:rPr>
          <w:sz w:val="20"/>
        </w:rPr>
        <w:t xml:space="preserve">24. Рассмотрение проекта организации дорожного движения, перечня мер владельцами автомобильных дорог, по которым проходит такой маршрут или участок маршрута, и подразделениями Госавтоинспекции осуществляется в срок, не превышающий пяти рабочих дней со дня их поступления соответственно к владельцу автомобильных дорог, по которым проходит такой маршрут или участок маршрута, и в подразделение Госавтоинспекции.</w:t>
      </w:r>
    </w:p>
    <w:p>
      <w:pPr>
        <w:pStyle w:val="0"/>
        <w:spacing w:before="200" w:line-rule="auto"/>
        <w:ind w:firstLine="540"/>
        <w:jc w:val="both"/>
      </w:pPr>
      <w:r>
        <w:rPr>
          <w:sz w:val="20"/>
        </w:rPr>
        <w:t xml:space="preserve">В случае если по истечении указанного срока подразделение Госавтоинспекции и (или) владелец автомобильной дороги не сообщили о своем решении (согласии или мотивированном отказе), такие проекты организации дорожного движения, перечень мер считаются согласованными.</w:t>
      </w:r>
    </w:p>
    <w:p>
      <w:pPr>
        <w:pStyle w:val="0"/>
        <w:jc w:val="both"/>
      </w:pPr>
      <w:r>
        <w:rPr>
          <w:sz w:val="20"/>
        </w:rPr>
      </w:r>
    </w:p>
    <w:p>
      <w:pPr>
        <w:pStyle w:val="2"/>
        <w:outlineLvl w:val="2"/>
        <w:jc w:val="center"/>
      </w:pPr>
      <w:r>
        <w:rPr>
          <w:sz w:val="20"/>
        </w:rPr>
        <w:t xml:space="preserve">Выдача, отказ в выдаче специального разрешения</w:t>
      </w:r>
    </w:p>
    <w:p>
      <w:pPr>
        <w:pStyle w:val="0"/>
        <w:jc w:val="both"/>
      </w:pPr>
      <w:r>
        <w:rPr>
          <w:sz w:val="20"/>
        </w:rPr>
      </w:r>
    </w:p>
    <w:p>
      <w:pPr>
        <w:pStyle w:val="0"/>
        <w:ind w:firstLine="540"/>
        <w:jc w:val="both"/>
      </w:pPr>
      <w:r>
        <w:rPr>
          <w:sz w:val="20"/>
        </w:rPr>
        <w:t xml:space="preserve">25. Для получения специального разрешения заявителем вносится плата в счет возмещения вреда, который будет причинен тяжеловесным транспортным средством автомобильным дорогам (далее - плата в счет возмещения вреда), в порядке, установленном </w:t>
      </w:r>
      <w:hyperlink w:history="0" w:anchor="P168" w:tooltip="27. Внесение платы в счет возмещения вреда осуществляется заявителем на основании счета уполномоченного органа. Такой счет формируется системой выдачи специального разрешения в автоматическом режиме по результатам расчета платы в счет возмещения вреда после согласования заявителем маршрута движения или после получения всех необходимых согласований проекта организации дорожного движения и (или) перечня мер от владельцев автомобильных дорог и подразделений Госавтоинспекции.">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26. Расчет платы в счет возмещения вреда производится системой выдачи специального разрешения одновременно с установлением маршрута в автоматическом режиме в соответствии с порядком определения размера платы в счет возмещения вреда, причиняемого тяжеловесным транспортным средством автомобильным дорогам, установленном настоящими Правилами, на основании сведений, внесенных владельцами автомобильных дорог в систему выдачи специального разрешения после подтверждения заявителем согласия с маршрутом движения.</w:t>
      </w:r>
    </w:p>
    <w:bookmarkStart w:id="168" w:name="P168"/>
    <w:bookmarkEnd w:id="168"/>
    <w:p>
      <w:pPr>
        <w:pStyle w:val="0"/>
        <w:spacing w:before="200" w:line-rule="auto"/>
        <w:ind w:firstLine="540"/>
        <w:jc w:val="both"/>
      </w:pPr>
      <w:r>
        <w:rPr>
          <w:sz w:val="20"/>
        </w:rPr>
        <w:t xml:space="preserve">27. Внесение платы в счет возмещения вреда осуществляется заявителем на основании счета уполномоченного органа. Такой счет формируется системой выдачи специального разрешения в автоматическом режиме по результатам расчета платы в счет возмещения вреда после согласования заявителем маршрута движения или после получения всех необходимых согласований проекта организации дорожного движения и (или) перечня мер от владельцев автомобильных дорог и подразделений Госавтоинспекции.</w:t>
      </w:r>
    </w:p>
    <w:p>
      <w:pPr>
        <w:pStyle w:val="0"/>
        <w:spacing w:before="200" w:line-rule="auto"/>
        <w:ind w:firstLine="540"/>
        <w:jc w:val="both"/>
      </w:pPr>
      <w:r>
        <w:rPr>
          <w:sz w:val="20"/>
        </w:rPr>
        <w:t xml:space="preserve">28. Выдача специального разрешения осуществляется путем внесения сведений о выданном специальном разрешении в реестр.</w:t>
      </w:r>
    </w:p>
    <w:p>
      <w:pPr>
        <w:pStyle w:val="0"/>
        <w:spacing w:before="200" w:line-rule="auto"/>
        <w:ind w:firstLine="540"/>
        <w:jc w:val="both"/>
      </w:pPr>
      <w:r>
        <w:rPr>
          <w:sz w:val="20"/>
        </w:rPr>
        <w:t xml:space="preserve">Заявителю направляется выписка из реестра, подписанная усиленной квалифицированной электронной подписью уполномоченного органа.</w:t>
      </w:r>
    </w:p>
    <w:p>
      <w:pPr>
        <w:pStyle w:val="0"/>
        <w:spacing w:before="200" w:line-rule="auto"/>
        <w:ind w:firstLine="540"/>
        <w:jc w:val="both"/>
      </w:pPr>
      <w:r>
        <w:rPr>
          <w:sz w:val="20"/>
        </w:rPr>
        <w:t xml:space="preserve">29. Специальное разрешение должно быть выдано в течение трех часов с момента согласования маршрута движения заявителем, за исключением случаев, когда для выдачи специального разрешения требуется наступление иных событий, необходимых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предусмотренных </w:t>
      </w:r>
      <w:hyperlink w:history="0" r:id="rId20"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частью 21 статьи 31</w:t>
        </w:r>
      </w:hyperlink>
      <w:r>
        <w:rPr>
          <w:sz w:val="20"/>
        </w:rPr>
        <w:t xml:space="preserve"> Федерального закона.</w:t>
      </w:r>
    </w:p>
    <w:p>
      <w:pPr>
        <w:pStyle w:val="0"/>
        <w:spacing w:before="200" w:line-rule="auto"/>
        <w:ind w:firstLine="540"/>
        <w:jc w:val="both"/>
      </w:pPr>
      <w:r>
        <w:rPr>
          <w:sz w:val="20"/>
        </w:rPr>
        <w:t xml:space="preserve">30. По запросу заявителя, направленному в уполномоченный орган посредством личного кабинета перевозчика, уполномоченный орган в срок, не превышающий двух рабочих дней со дня регистрации такого запроса, производит замену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pPr>
        <w:pStyle w:val="0"/>
        <w:spacing w:before="200" w:line-rule="auto"/>
        <w:ind w:firstLine="540"/>
        <w:jc w:val="both"/>
      </w:pPr>
      <w:r>
        <w:rPr>
          <w:sz w:val="20"/>
        </w:rPr>
        <w:t xml:space="preserve">31. Уполномоченный орган принимает решение об отказе в выдаче специального разрешения в случае, если:</w:t>
      </w:r>
    </w:p>
    <w:p>
      <w:pPr>
        <w:pStyle w:val="0"/>
        <w:spacing w:before="200" w:line-rule="auto"/>
        <w:ind w:firstLine="540"/>
        <w:jc w:val="both"/>
      </w:pPr>
      <w:r>
        <w:rPr>
          <w:sz w:val="20"/>
        </w:rPr>
        <w:t xml:space="preserve">а)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подпункта не распространяются на иностранных физических и юридических лиц;</w:t>
      </w:r>
    </w:p>
    <w:p>
      <w:pPr>
        <w:pStyle w:val="0"/>
        <w:spacing w:before="200" w:line-rule="auto"/>
        <w:ind w:firstLine="540"/>
        <w:jc w:val="both"/>
      </w:pPr>
      <w:r>
        <w:rPr>
          <w:sz w:val="20"/>
        </w:rPr>
        <w:t xml:space="preserve">б) установленные требования о перевозке груза, не являющегося неделимым, не соблюдены;</w:t>
      </w:r>
    </w:p>
    <w:p>
      <w:pPr>
        <w:pStyle w:val="0"/>
        <w:spacing w:before="200" w:line-rule="auto"/>
        <w:ind w:firstLine="540"/>
        <w:jc w:val="both"/>
      </w:pPr>
      <w:r>
        <w:rPr>
          <w:sz w:val="20"/>
        </w:rPr>
        <w:t xml:space="preserve">в) сведения, содержащиеся в заявлении на выдачу специального разрешения и документах,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pPr>
        <w:pStyle w:val="0"/>
        <w:spacing w:before="200" w:line-rule="auto"/>
        <w:ind w:firstLine="540"/>
        <w:jc w:val="both"/>
      </w:pPr>
      <w:r>
        <w:rPr>
          <w:sz w:val="20"/>
        </w:rPr>
        <w:t xml:space="preserve">г) при согласовании проекта организации дорожного движения и (или) перечня мер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pPr>
        <w:pStyle w:val="0"/>
        <w:spacing w:before="200" w:line-rule="auto"/>
        <w:ind w:firstLine="540"/>
        <w:jc w:val="both"/>
      </w:pPr>
      <w:r>
        <w:rPr>
          <w:sz w:val="20"/>
        </w:rPr>
        <w:t xml:space="preserve">д) отсутствует согласие заявителя на разработку проекта организации дорожного движения и (или) принятие мер;</w:t>
      </w:r>
    </w:p>
    <w:p>
      <w:pPr>
        <w:pStyle w:val="0"/>
        <w:spacing w:before="200" w:line-rule="auto"/>
        <w:ind w:firstLine="540"/>
        <w:jc w:val="both"/>
      </w:pPr>
      <w:r>
        <w:rPr>
          <w:sz w:val="20"/>
        </w:rPr>
        <w:t xml:space="preserve">е)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pPr>
        <w:pStyle w:val="0"/>
        <w:spacing w:before="200" w:line-rule="auto"/>
        <w:ind w:firstLine="540"/>
        <w:jc w:val="both"/>
      </w:pPr>
      <w:r>
        <w:rPr>
          <w:sz w:val="20"/>
        </w:rPr>
        <w:t xml:space="preserve">ж) истек указанный в заявлении на выдачу специального разрешения срок перевозки.</w:t>
      </w:r>
    </w:p>
    <w:p>
      <w:pPr>
        <w:pStyle w:val="0"/>
        <w:spacing w:before="200" w:line-rule="auto"/>
        <w:ind w:firstLine="540"/>
        <w:jc w:val="both"/>
      </w:pPr>
      <w:r>
        <w:rPr>
          <w:sz w:val="20"/>
        </w:rPr>
        <w:t xml:space="preserve">32. До выдачи специального разрешения, но не менее чем за пять рабочих дней до окончания срока перевозки, в случае необходимости разработки проекта организации дорожного движения и (или) перечня мер заявитель вправе посредством личного кабинета перевозчика ходатайствовать об изменении заявленного срока перевозки на срок, не превышающий трех месяцев со дня окончания ранее заявленного срока перевозки.</w:t>
      </w:r>
    </w:p>
    <w:p>
      <w:pPr>
        <w:pStyle w:val="0"/>
        <w:spacing w:before="200" w:line-rule="auto"/>
        <w:ind w:firstLine="540"/>
        <w:jc w:val="both"/>
      </w:pPr>
      <w:r>
        <w:rPr>
          <w:sz w:val="20"/>
        </w:rPr>
        <w:t xml:space="preserve">Рассмотрение ходатайства владельцами автомобильных дорог, по которым проходит маршрут движения, осуществляется посредством системы выдачи специального разрешения в срок, не превышающий пяти рабочих дней. В случае удовлетворения ходатайства всеми владельцами автомобильных дорог, по которым проходит маршрут движения, уполномоченный орган увеличивает срок перевозки на указанный в ходатайстве.</w:t>
      </w:r>
    </w:p>
    <w:p>
      <w:pPr>
        <w:pStyle w:val="0"/>
        <w:jc w:val="both"/>
      </w:pPr>
      <w:r>
        <w:rPr>
          <w:sz w:val="20"/>
        </w:rPr>
      </w:r>
    </w:p>
    <w:p>
      <w:pPr>
        <w:pStyle w:val="2"/>
        <w:outlineLvl w:val="1"/>
        <w:jc w:val="center"/>
      </w:pPr>
      <w:r>
        <w:rPr>
          <w:sz w:val="20"/>
        </w:rPr>
        <w:t xml:space="preserve">IV. Порядок возмещения вреда, причиняемого тяжеловесным</w:t>
      </w:r>
    </w:p>
    <w:p>
      <w:pPr>
        <w:pStyle w:val="2"/>
        <w:jc w:val="center"/>
      </w:pPr>
      <w:r>
        <w:rPr>
          <w:sz w:val="20"/>
        </w:rPr>
        <w:t xml:space="preserve">транспортным средством автомобильным дорогам</w:t>
      </w:r>
    </w:p>
    <w:p>
      <w:pPr>
        <w:pStyle w:val="0"/>
        <w:jc w:val="both"/>
      </w:pPr>
      <w:r>
        <w:rPr>
          <w:sz w:val="20"/>
        </w:rPr>
      </w:r>
    </w:p>
    <w:p>
      <w:pPr>
        <w:pStyle w:val="0"/>
        <w:ind w:firstLine="540"/>
        <w:jc w:val="both"/>
      </w:pPr>
      <w:r>
        <w:rPr>
          <w:sz w:val="20"/>
        </w:rPr>
        <w:t xml:space="preserve">33. Вред, причиняемый тяжеловесным транспортным средством автомобильным дорогам, подлежит возмещению владельцами тяжеловесных транспортных средств или их уполномоченными представителями.</w:t>
      </w:r>
    </w:p>
    <w:p>
      <w:pPr>
        <w:pStyle w:val="0"/>
        <w:spacing w:before="200" w:line-rule="auto"/>
        <w:ind w:firstLine="540"/>
        <w:jc w:val="both"/>
      </w:pPr>
      <w:r>
        <w:rPr>
          <w:sz w:val="20"/>
        </w:rPr>
        <w:t xml:space="preserve">34. Осуществление расчета платы в счет возмещения вреда производится системой выдачи специального разрешения в автоматическом режиме в соответствии с порядком определения размера вреда, причиняемого тяжеловесным транспортным средством автомобильным дорогам, определенным настоящими Правилами.</w:t>
      </w:r>
    </w:p>
    <w:p>
      <w:pPr>
        <w:pStyle w:val="0"/>
        <w:spacing w:before="200" w:line-rule="auto"/>
        <w:ind w:firstLine="540"/>
        <w:jc w:val="both"/>
      </w:pPr>
      <w:r>
        <w:rPr>
          <w:sz w:val="20"/>
        </w:rPr>
        <w:t xml:space="preserve">Расчет платы в счет возмещения вреда осуществляется на безвозмездной основе.</w:t>
      </w:r>
    </w:p>
    <w:p>
      <w:pPr>
        <w:pStyle w:val="0"/>
        <w:spacing w:before="200" w:line-rule="auto"/>
        <w:ind w:firstLine="540"/>
        <w:jc w:val="both"/>
      </w:pPr>
      <w:r>
        <w:rPr>
          <w:sz w:val="20"/>
        </w:rPr>
        <w:t xml:space="preserve">35. Размер платы в счет возмещения вреда определяется с учетом:</w:t>
      </w:r>
    </w:p>
    <w:p>
      <w:pPr>
        <w:pStyle w:val="0"/>
        <w:spacing w:before="200" w:line-rule="auto"/>
        <w:ind w:firstLine="540"/>
        <w:jc w:val="both"/>
      </w:pPr>
      <w:r>
        <w:rPr>
          <w:sz w:val="20"/>
        </w:rPr>
        <w:t xml:space="preserve">а) размеров вреда, причиняемого тяжеловесным транспортным средством автомобильным дорогам, определенных для автомобильных дорог (их участков), по которым проходит маршрут транспортного средства;</w:t>
      </w:r>
    </w:p>
    <w:p>
      <w:pPr>
        <w:pStyle w:val="0"/>
        <w:spacing w:before="200" w:line-rule="auto"/>
        <w:ind w:firstLine="540"/>
        <w:jc w:val="both"/>
      </w:pPr>
      <w:r>
        <w:rPr>
          <w:sz w:val="20"/>
        </w:rPr>
        <w:t xml:space="preserve">б) протяженности автомобильных дорог (их участков), по которым проходит маршрут транспортного средства;</w:t>
      </w:r>
    </w:p>
    <w:p>
      <w:pPr>
        <w:pStyle w:val="0"/>
        <w:spacing w:before="200" w:line-rule="auto"/>
        <w:ind w:firstLine="540"/>
        <w:jc w:val="both"/>
      </w:pPr>
      <w:r>
        <w:rPr>
          <w:sz w:val="20"/>
        </w:rPr>
        <w:t xml:space="preserve">в) базового компенсационного индекса текущего года.</w:t>
      </w:r>
    </w:p>
    <w:p>
      <w:pPr>
        <w:pStyle w:val="0"/>
        <w:spacing w:before="200" w:line-rule="auto"/>
        <w:ind w:firstLine="540"/>
        <w:jc w:val="both"/>
      </w:pPr>
      <w:r>
        <w:rPr>
          <w:sz w:val="20"/>
        </w:rPr>
        <w:t xml:space="preserve">36. Размер платы в счет возмещения вреда применительно к каждому участку автомобильной дороги, по которому проходит маршрут транспортного средства (П</w:t>
      </w:r>
      <w:r>
        <w:rPr>
          <w:sz w:val="20"/>
          <w:vertAlign w:val="subscript"/>
        </w:rPr>
        <w:t xml:space="preserve">р</w:t>
      </w:r>
      <w:r>
        <w:rPr>
          <w:sz w:val="20"/>
        </w:rPr>
        <w:t xml:space="preserve">), рассчитывается по следующей формуле:</w:t>
      </w:r>
    </w:p>
    <w:p>
      <w:pPr>
        <w:pStyle w:val="0"/>
        <w:jc w:val="both"/>
      </w:pPr>
      <w:r>
        <w:rPr>
          <w:sz w:val="20"/>
        </w:rPr>
      </w:r>
    </w:p>
    <w:p>
      <w:pPr>
        <w:pStyle w:val="0"/>
        <w:jc w:val="center"/>
      </w:pPr>
      <w:r>
        <w:rPr>
          <w:position w:val="-10"/>
        </w:rPr>
        <w:drawing>
          <wp:inline distT="0" distB="0" distL="0" distR="0">
            <wp:extent cx="2847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8479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пм</w:t>
      </w:r>
      <w:r>
        <w:rPr>
          <w:sz w:val="20"/>
        </w:rPr>
        <w:t xml:space="preserve"> - размер вреда, причиняемого тяжеловесным транспортным средством автомобильным дорогам при превышении значения допустимой массы транспортного средства, определенный для автомобильной дороги (ее участка), руб./100 км;</w:t>
      </w:r>
    </w:p>
    <w:p>
      <w:pPr>
        <w:pStyle w:val="0"/>
        <w:spacing w:before="200" w:line-rule="auto"/>
        <w:ind w:firstLine="540"/>
        <w:jc w:val="both"/>
      </w:pPr>
      <w:r>
        <w:rPr>
          <w:sz w:val="20"/>
        </w:rPr>
        <w:t xml:space="preserve">Р</w:t>
      </w:r>
      <w:r>
        <w:rPr>
          <w:sz w:val="20"/>
          <w:vertAlign w:val="subscript"/>
        </w:rPr>
        <w:t xml:space="preserve">пом1</w:t>
      </w:r>
      <w:r>
        <w:rPr>
          <w:sz w:val="20"/>
        </w:rPr>
        <w:t xml:space="preserve"> + Р</w:t>
      </w:r>
      <w:r>
        <w:rPr>
          <w:sz w:val="20"/>
          <w:vertAlign w:val="subscript"/>
        </w:rPr>
        <w:t xml:space="preserve">пом2</w:t>
      </w:r>
      <w:r>
        <w:rPr>
          <w:sz w:val="20"/>
        </w:rPr>
        <w:t xml:space="preserve"> + ... + Р</w:t>
      </w:r>
      <w:r>
        <w:rPr>
          <w:sz w:val="20"/>
          <w:vertAlign w:val="subscript"/>
        </w:rPr>
        <w:t xml:space="preserve">помi</w:t>
      </w:r>
      <w:r>
        <w:rPr>
          <w:sz w:val="20"/>
        </w:rPr>
        <w:t xml:space="preserve"> - сумма размеров вреда, причиняемого тяжеловесным транспортным средством автомобильным дорогам при превышении значений допустимой нагрузки на каждую ось транспортного средства, определенных для автомобильной дороги (ее участка), руб./100 км;</w:t>
      </w:r>
    </w:p>
    <w:p>
      <w:pPr>
        <w:pStyle w:val="0"/>
        <w:spacing w:before="200" w:line-rule="auto"/>
        <w:ind w:firstLine="540"/>
        <w:jc w:val="both"/>
      </w:pPr>
      <w:r>
        <w:rPr>
          <w:sz w:val="20"/>
        </w:rPr>
        <w:t xml:space="preserve">1, 2, i - порядковый номер осей транспортного средства, по которым имеется превышение допустимой нагрузки на ось транспортного средства;</w:t>
      </w:r>
    </w:p>
    <w:p>
      <w:pPr>
        <w:pStyle w:val="0"/>
        <w:spacing w:before="200" w:line-rule="auto"/>
        <w:ind w:firstLine="540"/>
        <w:jc w:val="both"/>
      </w:pPr>
      <w:r>
        <w:rPr>
          <w:sz w:val="20"/>
        </w:rPr>
        <w:t xml:space="preserve">S - протяженность автомобильной дороги (ее участка), сотни км;</w:t>
      </w:r>
    </w:p>
    <w:p>
      <w:pPr>
        <w:pStyle w:val="0"/>
        <w:spacing w:before="200" w:line-rule="auto"/>
        <w:ind w:firstLine="540"/>
        <w:jc w:val="both"/>
      </w:pPr>
      <w:r>
        <w:rPr>
          <w:sz w:val="20"/>
        </w:rPr>
        <w:t xml:space="preserve">Т</w:t>
      </w:r>
      <w:r>
        <w:rPr>
          <w:sz w:val="20"/>
          <w:vertAlign w:val="subscript"/>
        </w:rPr>
        <w:t xml:space="preserve">тг</w:t>
      </w:r>
      <w:r>
        <w:rPr>
          <w:sz w:val="20"/>
        </w:rPr>
        <w:t xml:space="preserve"> - базовый компенсационный индекс текущего года, рассчитываемый по формуле:</w:t>
      </w:r>
    </w:p>
    <w:p>
      <w:pPr>
        <w:pStyle w:val="0"/>
        <w:jc w:val="both"/>
      </w:pPr>
      <w:r>
        <w:rPr>
          <w:sz w:val="20"/>
        </w:rPr>
      </w:r>
    </w:p>
    <w:p>
      <w:pPr>
        <w:pStyle w:val="0"/>
        <w:jc w:val="center"/>
      </w:pPr>
      <w:r>
        <w:rPr>
          <w:position w:val="-8"/>
        </w:rPr>
        <w:drawing>
          <wp:inline distT="0" distB="0" distL="0" distR="0">
            <wp:extent cx="9048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w:t>
      </w:r>
      <w:r>
        <w:rPr>
          <w:sz w:val="20"/>
          <w:vertAlign w:val="subscript"/>
        </w:rPr>
        <w:t xml:space="preserve">пг</w:t>
      </w:r>
      <w:r>
        <w:rPr>
          <w:sz w:val="20"/>
        </w:rPr>
        <w:t xml:space="preserve"> - базовый компенсационный индекс предыдущего года (базовый компенсационный индекс 2008 года принимается равным 1, Т</w:t>
      </w:r>
      <w:r>
        <w:rPr>
          <w:sz w:val="20"/>
          <w:vertAlign w:val="subscript"/>
        </w:rPr>
        <w:t xml:space="preserve">2008</w:t>
      </w:r>
      <w:r>
        <w:rPr>
          <w:sz w:val="20"/>
        </w:rPr>
        <w:t xml:space="preserve"> = 1);</w:t>
      </w:r>
    </w:p>
    <w:p>
      <w:pPr>
        <w:pStyle w:val="0"/>
        <w:spacing w:before="200" w:line-rule="auto"/>
        <w:ind w:firstLine="540"/>
        <w:jc w:val="both"/>
      </w:pPr>
      <w:r>
        <w:rPr>
          <w:sz w:val="20"/>
        </w:rPr>
        <w:t xml:space="preserve">I</w:t>
      </w:r>
      <w:r>
        <w:rPr>
          <w:sz w:val="20"/>
          <w:vertAlign w:val="subscript"/>
        </w:rPr>
        <w:t xml:space="preserve">тг</w:t>
      </w:r>
      <w:r>
        <w:rPr>
          <w:sz w:val="2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в соответствии с одобренным Правительством Российской Федерации среднесрочным прогнозом социально-экономического развития Российской Федерации.</w:t>
      </w:r>
    </w:p>
    <w:p>
      <w:pPr>
        <w:pStyle w:val="0"/>
        <w:spacing w:before="200" w:line-rule="auto"/>
        <w:ind w:firstLine="540"/>
        <w:jc w:val="both"/>
      </w:pPr>
      <w:r>
        <w:rPr>
          <w:sz w:val="20"/>
        </w:rPr>
        <w:t xml:space="preserve">37. Общий размер платы в счет возмещения вреда определяется как сумма платежей в счет возмещения вреда, причиняемого тяжеловесным транспортным средством автомобильным дорогам, рассчитанных применительно к каждой автомобильной дороге (ее участку), по которой проходит маршрут транспортного средства.</w:t>
      </w:r>
    </w:p>
    <w:p>
      <w:pPr>
        <w:pStyle w:val="0"/>
        <w:spacing w:before="200" w:line-rule="auto"/>
        <w:ind w:firstLine="540"/>
        <w:jc w:val="both"/>
      </w:pPr>
      <w:r>
        <w:rPr>
          <w:sz w:val="20"/>
        </w:rPr>
        <w:t xml:space="preserve">38. Внесение платы в счет возмещения вреда осуществляется заявителем через платежные системы, указанные в личном кабинете и едином портале (в случае подачи заявления через единый портал), или по квитанции, формируемой в личном кабинете или направляемой заявителю с использованием единого портала (в случае подачи заявления через единый портал).</w:t>
      </w:r>
    </w:p>
    <w:p>
      <w:pPr>
        <w:pStyle w:val="0"/>
        <w:spacing w:before="200" w:line-rule="auto"/>
        <w:ind w:firstLine="540"/>
        <w:jc w:val="both"/>
      </w:pPr>
      <w:r>
        <w:rPr>
          <w:sz w:val="20"/>
        </w:rPr>
        <w:t xml:space="preserve">Внесение платы в счет возмещения вреда посредством единого портала осуществляется с использованием информации о начислении платы, размещаемой в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39. Средства, полученные уполномоченным органом в качестве платы в счет возмещения вреда, который будет причинен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pPr>
        <w:pStyle w:val="0"/>
        <w:spacing w:before="200" w:line-rule="auto"/>
        <w:ind w:firstLine="540"/>
        <w:jc w:val="both"/>
      </w:pPr>
      <w:r>
        <w:rPr>
          <w:sz w:val="20"/>
        </w:rPr>
        <w:t xml:space="preserve">40. Решение о возврате излишне уплаченных (взысканных) платежей в счет возмещения вреда, причиняемого тяжеловесным транспортным средством автомобильным дорогам, принимается уполномоченным органом в семидневный срок со дня получения заявления плательщика.</w:t>
      </w:r>
    </w:p>
    <w:p>
      <w:pPr>
        <w:pStyle w:val="0"/>
        <w:spacing w:before="200" w:line-rule="auto"/>
        <w:ind w:firstLine="540"/>
        <w:jc w:val="both"/>
      </w:pPr>
      <w:r>
        <w:rPr>
          <w:sz w:val="20"/>
        </w:rPr>
        <w:t xml:space="preserve">Решение о возврате излишне уплаченных (взысканных) платежей в счет возмещения вреда, причиняемого тяжеловесным транспортным средством автомобильным дорогам, принимается в случае, если при осуществлении расчета платы в счет возмещения вреда и (или) при внесении заявителем соответствующей платы допущена техническая ошибка.</w:t>
      </w:r>
    </w:p>
    <w:p>
      <w:pPr>
        <w:pStyle w:val="0"/>
        <w:jc w:val="both"/>
      </w:pPr>
      <w:r>
        <w:rPr>
          <w:sz w:val="20"/>
        </w:rPr>
      </w:r>
    </w:p>
    <w:p>
      <w:pPr>
        <w:pStyle w:val="2"/>
        <w:outlineLvl w:val="1"/>
        <w:jc w:val="center"/>
      </w:pPr>
      <w:r>
        <w:rPr>
          <w:sz w:val="20"/>
        </w:rPr>
        <w:t xml:space="preserve">V. Порядок определения размера платы в счет возмещения вреда</w:t>
      </w:r>
    </w:p>
    <w:p>
      <w:pPr>
        <w:pStyle w:val="0"/>
        <w:jc w:val="both"/>
      </w:pPr>
      <w:r>
        <w:rPr>
          <w:sz w:val="20"/>
        </w:rPr>
      </w:r>
    </w:p>
    <w:p>
      <w:pPr>
        <w:pStyle w:val="0"/>
        <w:ind w:firstLine="540"/>
        <w:jc w:val="both"/>
      </w:pPr>
      <w:r>
        <w:rPr>
          <w:sz w:val="20"/>
        </w:rPr>
        <w:t xml:space="preserve">41. При определении размера платы в счет возмещения вреда учитываются:</w:t>
      </w:r>
    </w:p>
    <w:p>
      <w:pPr>
        <w:pStyle w:val="0"/>
        <w:spacing w:before="200" w:line-rule="auto"/>
        <w:ind w:firstLine="540"/>
        <w:jc w:val="both"/>
      </w:pPr>
      <w:r>
        <w:rPr>
          <w:sz w:val="20"/>
        </w:rPr>
        <w:t xml:space="preserve">а) превышение установленных настоящими Правилами,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принимаемым в соответствии со </w:t>
      </w:r>
      <w:hyperlink w:history="0" r:id="rId23"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30</w:t>
        </w:r>
      </w:hyperlink>
      <w:r>
        <w:rPr>
          <w:sz w:val="20"/>
        </w:rPr>
        <w:t xml:space="preserve"> Федерального закона, значений:</w:t>
      </w:r>
    </w:p>
    <w:p>
      <w:pPr>
        <w:pStyle w:val="0"/>
        <w:spacing w:before="200" w:line-rule="auto"/>
        <w:ind w:firstLine="540"/>
        <w:jc w:val="both"/>
      </w:pPr>
      <w:r>
        <w:rPr>
          <w:sz w:val="20"/>
        </w:rPr>
        <w:t xml:space="preserve">допустимой массы транспортного средства;</w:t>
      </w:r>
    </w:p>
    <w:p>
      <w:pPr>
        <w:pStyle w:val="0"/>
        <w:spacing w:before="200" w:line-rule="auto"/>
        <w:ind w:firstLine="540"/>
        <w:jc w:val="both"/>
      </w:pPr>
      <w:r>
        <w:rPr>
          <w:sz w:val="20"/>
        </w:rPr>
        <w:t xml:space="preserve">допустимой нагрузки на ось транспортного средства;</w:t>
      </w:r>
    </w:p>
    <w:p>
      <w:pPr>
        <w:pStyle w:val="0"/>
        <w:spacing w:before="200" w:line-rule="auto"/>
        <w:ind w:firstLine="540"/>
        <w:jc w:val="both"/>
      </w:pPr>
      <w:r>
        <w:rPr>
          <w:sz w:val="20"/>
        </w:rPr>
        <w:t xml:space="preserve">б) тип дорожной одежды;</w:t>
      </w:r>
    </w:p>
    <w:p>
      <w:pPr>
        <w:pStyle w:val="0"/>
        <w:spacing w:before="200" w:line-rule="auto"/>
        <w:ind w:firstLine="540"/>
        <w:jc w:val="both"/>
      </w:pPr>
      <w:r>
        <w:rPr>
          <w:sz w:val="20"/>
        </w:rPr>
        <w:t xml:space="preserve">в) расположение автомобильной дороги на территории Российской Федерации;</w:t>
      </w:r>
    </w:p>
    <w:p>
      <w:pPr>
        <w:pStyle w:val="0"/>
        <w:spacing w:before="200" w:line-rule="auto"/>
        <w:ind w:firstLine="540"/>
        <w:jc w:val="both"/>
      </w:pPr>
      <w:r>
        <w:rPr>
          <w:sz w:val="20"/>
        </w:rPr>
        <w:t xml:space="preserve">г) значение автомобильной дороги.</w:t>
      </w:r>
    </w:p>
    <w:p>
      <w:pPr>
        <w:pStyle w:val="0"/>
        <w:spacing w:before="200" w:line-rule="auto"/>
        <w:ind w:firstLine="540"/>
        <w:jc w:val="both"/>
      </w:pPr>
      <w:r>
        <w:rPr>
          <w:sz w:val="20"/>
        </w:rPr>
        <w:t xml:space="preserve">42. Размер вреда, причиняемого тяжеловесным транспортным средством автомобильным дорогам при превышении значений допустимых нагрузок на одну ось (Р</w:t>
      </w:r>
      <w:r>
        <w:rPr>
          <w:sz w:val="20"/>
          <w:vertAlign w:val="subscript"/>
        </w:rPr>
        <w:t xml:space="preserve">помi</w:t>
      </w:r>
      <w:r>
        <w:rPr>
          <w:sz w:val="20"/>
        </w:rPr>
        <w:t xml:space="preserve">), рассчитывается по формулам:</w:t>
      </w:r>
    </w:p>
    <w:p>
      <w:pPr>
        <w:pStyle w:val="0"/>
        <w:spacing w:before="200" w:line-rule="auto"/>
        <w:ind w:firstLine="540"/>
        <w:jc w:val="both"/>
      </w:pPr>
      <w:r>
        <w:rPr>
          <w:sz w:val="20"/>
        </w:rPr>
        <w:t xml:space="preserve">а) для дорог с одеждой капитального и облегченного типа, в том числе для зимнего периода года:</w:t>
      </w:r>
    </w:p>
    <w:p>
      <w:pPr>
        <w:pStyle w:val="0"/>
        <w:jc w:val="both"/>
      </w:pPr>
      <w:r>
        <w:rPr>
          <w:sz w:val="20"/>
        </w:rPr>
      </w:r>
    </w:p>
    <w:p>
      <w:pPr>
        <w:pStyle w:val="0"/>
        <w:jc w:val="center"/>
      </w:pPr>
      <w:r>
        <w:rPr>
          <w:position w:val="-10"/>
        </w:rPr>
        <w:drawing>
          <wp:inline distT="0" distB="0" distL="0" distR="0">
            <wp:extent cx="40290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40290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дкз</w:t>
      </w:r>
      <w:r>
        <w:rPr>
          <w:sz w:val="20"/>
        </w:rPr>
        <w:t xml:space="preserve"> - коэффициент, учитывающий условия дорожно-климатических зон, определенный согласно </w:t>
      </w:r>
      <w:hyperlink w:history="0" w:anchor="P561" w:tooltip="КОЭФФИЦИЕНТЫ,">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К</w:t>
      </w:r>
      <w:r>
        <w:rPr>
          <w:sz w:val="20"/>
          <w:vertAlign w:val="subscript"/>
        </w:rPr>
        <w:t xml:space="preserve">кап.рем</w:t>
      </w:r>
      <w:r>
        <w:rPr>
          <w:sz w:val="2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history="0" w:anchor="P561" w:tooltip="КОЭФФИЦИЕНТЫ,">
        <w:r>
          <w:rPr>
            <w:sz w:val="20"/>
            <w:color w:val="0000ff"/>
          </w:rPr>
          <w:t xml:space="preserve">приложении N 4</w:t>
        </w:r>
      </w:hyperlink>
      <w:r>
        <w:rPr>
          <w:sz w:val="20"/>
        </w:rPr>
        <w:t xml:space="preserve"> к настоящим Правилам;</w:t>
      </w:r>
    </w:p>
    <w:p>
      <w:pPr>
        <w:pStyle w:val="0"/>
        <w:spacing w:before="200" w:line-rule="auto"/>
        <w:ind w:firstLine="540"/>
        <w:jc w:val="both"/>
      </w:pPr>
      <w:r>
        <w:rPr>
          <w:sz w:val="20"/>
        </w:rPr>
        <w:t xml:space="preserve">К</w:t>
      </w:r>
      <w:r>
        <w:rPr>
          <w:sz w:val="20"/>
          <w:vertAlign w:val="subscript"/>
        </w:rPr>
        <w:t xml:space="preserve">сез</w:t>
      </w:r>
      <w:r>
        <w:rPr>
          <w:sz w:val="20"/>
        </w:rPr>
        <w:t xml:space="preserve"> - коэффициент, учитывающий природно-климатические условия. Принимается равным единице при неблагоприятных природно-климатических условиях, в остальное время принимается равным 0,35;</w:t>
      </w:r>
    </w:p>
    <w:p>
      <w:pPr>
        <w:pStyle w:val="0"/>
        <w:spacing w:before="200" w:line-rule="auto"/>
        <w:ind w:firstLine="540"/>
        <w:jc w:val="both"/>
      </w:pPr>
      <w:r>
        <w:rPr>
          <w:sz w:val="20"/>
        </w:rPr>
        <w:t xml:space="preserve">Р</w:t>
      </w:r>
      <w:r>
        <w:rPr>
          <w:sz w:val="20"/>
          <w:vertAlign w:val="subscript"/>
        </w:rPr>
        <w:t xml:space="preserve">исх.ось</w:t>
      </w:r>
      <w:r>
        <w:rPr>
          <w:sz w:val="20"/>
        </w:rPr>
        <w:t xml:space="preserve"> - исходное значение размера вреда, причиняемого транспортными средствами автомобильным дорогам при превышении допустимых нагрузок на ось транспортного средства, определенное согласно </w:t>
      </w:r>
      <w:hyperlink w:history="0" w:anchor="P616" w:tooltip="ИСХОДНОЕ ЗНАЧЕНИЕ">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П</w:t>
      </w:r>
      <w:r>
        <w:rPr>
          <w:sz w:val="20"/>
          <w:vertAlign w:val="subscript"/>
        </w:rPr>
        <w:t xml:space="preserve">ось</w:t>
      </w:r>
      <w:r>
        <w:rPr>
          <w:sz w:val="20"/>
        </w:rPr>
        <w:t xml:space="preserve"> - величина превышения фактической нагрузки на ось транспортного средства над допустимой для автомобильной дороги (значение превышения следует округлять в меньшую сторону до десятых), тонн;</w:t>
      </w:r>
    </w:p>
    <w:p>
      <w:pPr>
        <w:pStyle w:val="0"/>
        <w:spacing w:before="200" w:line-rule="auto"/>
        <w:ind w:firstLine="540"/>
        <w:jc w:val="both"/>
      </w:pPr>
      <w:r>
        <w:rPr>
          <w:sz w:val="20"/>
        </w:rPr>
        <w:t xml:space="preserve">Н - нормативная нагрузка на ось транспортного средства для автомобильной дороги, тонн;</w:t>
      </w:r>
    </w:p>
    <w:p>
      <w:pPr>
        <w:pStyle w:val="0"/>
        <w:spacing w:before="200" w:line-rule="auto"/>
        <w:ind w:firstLine="540"/>
        <w:jc w:val="both"/>
      </w:pPr>
      <w:r>
        <w:rPr>
          <w:sz w:val="20"/>
        </w:rPr>
        <w:t xml:space="preserve">a, b - постоянные коэффициенты, приведенные в </w:t>
      </w:r>
      <w:hyperlink w:history="0" w:anchor="P616" w:tooltip="ИСХОДНОЕ ЗНАЧЕНИЕ">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б) для дорог с одеждой переходного типа, в том числе для зимнего периода года:</w:t>
      </w:r>
    </w:p>
    <w:p>
      <w:pPr>
        <w:pStyle w:val="0"/>
        <w:jc w:val="both"/>
      </w:pPr>
      <w:r>
        <w:rPr>
          <w:sz w:val="20"/>
        </w:rPr>
      </w:r>
    </w:p>
    <w:p>
      <w:pPr>
        <w:pStyle w:val="0"/>
        <w:jc w:val="center"/>
      </w:pPr>
      <w:r>
        <w:rPr>
          <w:position w:val="-10"/>
        </w:rPr>
        <w:drawing>
          <wp:inline distT="0" distB="0" distL="0" distR="0">
            <wp:extent cx="3705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37052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43. Размер вреда, причиняемого тяжеловесным транспортным средством автомобильным дорогам при превышении значений допустимой массы транспортного средства, на каждые 100 километров (Р</w:t>
      </w:r>
      <w:r>
        <w:rPr>
          <w:sz w:val="20"/>
          <w:vertAlign w:val="subscript"/>
        </w:rPr>
        <w:t xml:space="preserve">пм</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2524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5241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кап.рем</w:t>
      </w:r>
      <w:r>
        <w:rPr>
          <w:sz w:val="2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history="0" w:anchor="P561" w:tooltip="КОЭФФИЦИЕНТЫ,">
        <w:r>
          <w:rPr>
            <w:sz w:val="20"/>
            <w:color w:val="0000ff"/>
          </w:rPr>
          <w:t xml:space="preserve">приложении N 4</w:t>
        </w:r>
      </w:hyperlink>
      <w:r>
        <w:rPr>
          <w:sz w:val="20"/>
        </w:rPr>
        <w:t xml:space="preserve"> к настоящим Правилам;</w:t>
      </w:r>
    </w:p>
    <w:p>
      <w:pPr>
        <w:pStyle w:val="0"/>
        <w:spacing w:before="200" w:line-rule="auto"/>
        <w:ind w:firstLine="540"/>
        <w:jc w:val="both"/>
      </w:pPr>
      <w:r>
        <w:rPr>
          <w:sz w:val="20"/>
        </w:rPr>
        <w:t xml:space="preserve">К</w:t>
      </w:r>
      <w:r>
        <w:rPr>
          <w:sz w:val="20"/>
          <w:vertAlign w:val="subscript"/>
        </w:rPr>
        <w:t xml:space="preserve">пм</w:t>
      </w:r>
      <w:r>
        <w:rPr>
          <w:sz w:val="2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history="0" w:anchor="P561" w:tooltip="КОЭФФИЦИЕНТЫ,">
        <w:r>
          <w:rPr>
            <w:sz w:val="20"/>
            <w:color w:val="0000ff"/>
          </w:rPr>
          <w:t xml:space="preserve">приложении N 4</w:t>
        </w:r>
      </w:hyperlink>
      <w:r>
        <w:rPr>
          <w:sz w:val="20"/>
        </w:rPr>
        <w:t xml:space="preserve"> к настоящим Правилам;</w:t>
      </w:r>
    </w:p>
    <w:p>
      <w:pPr>
        <w:pStyle w:val="0"/>
        <w:spacing w:before="200" w:line-rule="auto"/>
        <w:ind w:firstLine="540"/>
        <w:jc w:val="both"/>
      </w:pPr>
      <w:r>
        <w:rPr>
          <w:sz w:val="20"/>
        </w:rPr>
        <w:t xml:space="preserve">Р</w:t>
      </w:r>
      <w:r>
        <w:rPr>
          <w:sz w:val="20"/>
          <w:vertAlign w:val="subscript"/>
        </w:rPr>
        <w:t xml:space="preserve">исх.пм</w:t>
      </w:r>
      <w:r>
        <w:rPr>
          <w:sz w:val="20"/>
        </w:rPr>
        <w:t xml:space="preserve"> - исходное значение размера вреда, причиняемого транспортными средствами автомобильным дорогам, при превышении допустимой массы транспортного средства, равное 7365 руб./100 км;</w:t>
      </w:r>
    </w:p>
    <w:p>
      <w:pPr>
        <w:pStyle w:val="0"/>
        <w:spacing w:before="200" w:line-rule="auto"/>
        <w:ind w:firstLine="540"/>
        <w:jc w:val="both"/>
      </w:pPr>
      <w:r>
        <w:rPr>
          <w:sz w:val="20"/>
        </w:rPr>
        <w:t xml:space="preserve">c - коэффициент учета превышения массы, равный 0,01675;</w:t>
      </w:r>
    </w:p>
    <w:p>
      <w:pPr>
        <w:pStyle w:val="0"/>
        <w:spacing w:before="200" w:line-rule="auto"/>
        <w:ind w:firstLine="540"/>
        <w:jc w:val="both"/>
      </w:pPr>
      <w:r>
        <w:rPr>
          <w:sz w:val="20"/>
        </w:rPr>
        <w:t xml:space="preserve">П</w:t>
      </w:r>
      <w:r>
        <w:rPr>
          <w:sz w:val="20"/>
          <w:vertAlign w:val="subscript"/>
        </w:rPr>
        <w:t xml:space="preserve">пм</w:t>
      </w:r>
      <w:r>
        <w:rPr>
          <w:sz w:val="20"/>
        </w:rPr>
        <w:t xml:space="preserve"> - величина превышения фактической массы транспортного средства над допустимой (значение превышения следует округлять в меньшую сторону до десятых), процентов.</w:t>
      </w:r>
    </w:p>
    <w:p>
      <w:pPr>
        <w:pStyle w:val="0"/>
        <w:jc w:val="both"/>
      </w:pPr>
      <w:r>
        <w:rPr>
          <w:sz w:val="20"/>
        </w:rPr>
      </w:r>
    </w:p>
    <w:p>
      <w:pPr>
        <w:pStyle w:val="2"/>
        <w:outlineLvl w:val="1"/>
        <w:jc w:val="center"/>
      </w:pPr>
      <w:r>
        <w:rPr>
          <w:sz w:val="20"/>
        </w:rPr>
        <w:t xml:space="preserve">VI. Требования к движению по автомобильным дорогам</w:t>
      </w:r>
    </w:p>
    <w:p>
      <w:pPr>
        <w:pStyle w:val="2"/>
        <w:jc w:val="center"/>
      </w:pPr>
      <w:r>
        <w:rPr>
          <w:sz w:val="20"/>
        </w:rPr>
        <w:t xml:space="preserve">общего пользования тяжеловесной и (или) крупногабаритной</w:t>
      </w:r>
    </w:p>
    <w:p>
      <w:pPr>
        <w:pStyle w:val="2"/>
        <w:jc w:val="center"/>
      </w:pPr>
      <w:r>
        <w:rPr>
          <w:sz w:val="20"/>
        </w:rPr>
        <w:t xml:space="preserve">сельскохозяйственной техники с прицепным оборудованием</w:t>
      </w:r>
    </w:p>
    <w:p>
      <w:pPr>
        <w:pStyle w:val="0"/>
        <w:jc w:val="both"/>
      </w:pPr>
      <w:r>
        <w:rPr>
          <w:sz w:val="20"/>
        </w:rPr>
      </w:r>
    </w:p>
    <w:p>
      <w:pPr>
        <w:pStyle w:val="0"/>
        <w:ind w:firstLine="540"/>
        <w:jc w:val="both"/>
      </w:pPr>
      <w:r>
        <w:rPr>
          <w:sz w:val="20"/>
        </w:rPr>
        <w:t xml:space="preserve">44. Движение по автомобильным дорогам общего пользования тяжеловесной и (или) крупногабаритной сельскохозяйственной техники с прицепным оборудованием осуществляется при наличии специального разрешения.</w:t>
      </w:r>
    </w:p>
    <w:p>
      <w:pPr>
        <w:pStyle w:val="0"/>
        <w:spacing w:before="200" w:line-rule="auto"/>
        <w:ind w:firstLine="540"/>
        <w:jc w:val="both"/>
      </w:pPr>
      <w:r>
        <w:rPr>
          <w:sz w:val="20"/>
        </w:rPr>
        <w:t xml:space="preserve">Тяжеловесная и (или) крупногабаритная сельскохозяйственная техника и прицепы, на которые распространяются требования технических регламентов Таможенного союза "</w:t>
      </w:r>
      <w:hyperlink w:history="0" r:id="rId27" w:tooltip="Решение Совета Евразийской экономической комиссии от 20.07.2012 N 60 (ред. от 12.04.2024) &quot;О принятии технического регламента Таможенного союза &quot;О безопасности сельскохозяйственных и лесохозяйственных тракторов и прицепов к ним&quot; (вместе с &quot;ТР ТС 031/2012. Технический регламент Таможенного союза. О безопасности сельскохозяйственных и лесохозяйственных тракторов и прицепов к ним&quot;) {КонсультантПлюс}">
        <w:r>
          <w:rPr>
            <w:sz w:val="20"/>
            <w:color w:val="0000ff"/>
          </w:rPr>
          <w:t xml:space="preserve">О безопасности</w:t>
        </w:r>
      </w:hyperlink>
      <w:r>
        <w:rPr>
          <w:sz w:val="20"/>
        </w:rPr>
        <w:t xml:space="preserve"> сельскохозяйственных и лесохозяйственных тракторов и прицепов к ним" (ТР ТС N 031/2012), "</w:t>
      </w:r>
      <w:hyperlink w:history="0" r:id="rId28" w:tooltip="Решение Комиссии Таможенного союза от 18.10.2011 N 823 (ред. от 09.03.2021)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0"/>
            <w:color w:val="0000ff"/>
          </w:rPr>
          <w:t xml:space="preserve">О безопасности</w:t>
        </w:r>
      </w:hyperlink>
      <w:r>
        <w:rPr>
          <w:sz w:val="20"/>
        </w:rPr>
        <w:t xml:space="preserve"> машин и оборудования" (ТР ТС N 010/2011) (далее - технические регламенты Таможенного союза), допускаются к движению после осуществления их государственной регистрации.</w:t>
      </w:r>
    </w:p>
    <w:p>
      <w:pPr>
        <w:pStyle w:val="0"/>
        <w:spacing w:before="200" w:line-rule="auto"/>
        <w:ind w:firstLine="540"/>
        <w:jc w:val="both"/>
      </w:pPr>
      <w:r>
        <w:rPr>
          <w:sz w:val="20"/>
        </w:rPr>
        <w:t xml:space="preserve">Тяжеловесная и (или) крупногабаритная сельскохозяйственная техника с прицепным оборудованием должна соответствовать требованиям технических регламентов Таможенного союза.</w:t>
      </w:r>
    </w:p>
    <w:p>
      <w:pPr>
        <w:pStyle w:val="0"/>
        <w:spacing w:before="200" w:line-rule="auto"/>
        <w:ind w:firstLine="540"/>
        <w:jc w:val="both"/>
      </w:pPr>
      <w:r>
        <w:rPr>
          <w:sz w:val="20"/>
        </w:rPr>
        <w:t xml:space="preserve">Тяжеловесная и (или) крупногабаритная сельскохозяйственная техника с прицепным оборудованием, выпущенная в обращение до вступления в силу технических регламентов Таможенного союза, должна соответствовать </w:t>
      </w:r>
      <w:hyperlink w:history="0" r:id="rId29" w:tooltip="Постановление Правительства РФ от 02.11.2022 N 1967 &quot;Об утверждении требований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quot; {КонсультантПлюс}">
        <w:r>
          <w:rPr>
            <w:sz w:val="20"/>
            <w:color w:val="0000ff"/>
          </w:rPr>
          <w:t xml:space="preserve">требованиям</w:t>
        </w:r>
      </w:hyperlink>
      <w:r>
        <w:rPr>
          <w:sz w:val="20"/>
        </w:rPr>
        <w:t xml:space="preserve">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 утвержденным постановлением Правительства Российской Федерации от 2 ноября 2022 г. N 1967 "Об утверждении требований к техническому состоянию и эксплуатации самоходных машин и других видов техники, изготовленных и допущенных к эксплуатации до вступления в силу технических регламентов Таможенного союза, регулирующих вопросы безопасности самоходных машин и других видов техники".</w:t>
      </w:r>
    </w:p>
    <w:p>
      <w:pPr>
        <w:pStyle w:val="0"/>
        <w:spacing w:before="200" w:line-rule="auto"/>
        <w:ind w:firstLine="540"/>
        <w:jc w:val="both"/>
      </w:pPr>
      <w:r>
        <w:rPr>
          <w:sz w:val="20"/>
        </w:rPr>
        <w:t xml:space="preserve">Собственник (владелец) тяжеловесной и (или) крупногабаритной сельскохозяйственной техники с прицепным оборудованием обязан обеспечить соответствие ее технического состояния требованиям безопасности дорожного движения и не допускать тяжеловесную и (или) крупногабаритную сельскохозяйственную технику к эксплуатации при наличии у нее неисправностей, предусмотренных </w:t>
      </w:r>
      <w:hyperlink w:history="0" r:id="rId30" w:tooltip="Постановление Правительства РФ от 20.05.2022 N 916 &quot;Об утверждении перечня неисправностей и условий, при которых запрещается эксплуатация самоходных машин и других видов техники&quot; {КонсультантПлюс}">
        <w:r>
          <w:rPr>
            <w:sz w:val="20"/>
            <w:color w:val="0000ff"/>
          </w:rPr>
          <w:t xml:space="preserve">перечнем</w:t>
        </w:r>
      </w:hyperlink>
      <w:r>
        <w:rPr>
          <w:sz w:val="20"/>
        </w:rPr>
        <w:t xml:space="preserve"> неисправностей и условий, при которых запрещается эксплуатация самоходных машин и других видов техники, утвержденным постановлением Правительства Российской Федерации от 20 мая 2022 г. N 916 "Об утверждении перечня неисправностей и условий, при которых запрещается эксплуатация самоходных машин и других видов техники".</w:t>
      </w:r>
    </w:p>
    <w:p>
      <w:pPr>
        <w:pStyle w:val="0"/>
        <w:spacing w:before="200" w:line-rule="auto"/>
        <w:ind w:firstLine="540"/>
        <w:jc w:val="both"/>
      </w:pPr>
      <w:r>
        <w:rPr>
          <w:sz w:val="20"/>
        </w:rPr>
        <w:t xml:space="preserve">45. Для обеспечения безопасности дорожного движения тяжеловесная и (или) крупногабаритная сельскохозяйственная техника с прицепным оборудованием допускается к движению по автомобильным дорогам общего пользования при соблюдении следующих условий:</w:t>
      </w:r>
    </w:p>
    <w:p>
      <w:pPr>
        <w:pStyle w:val="0"/>
        <w:spacing w:before="200" w:line-rule="auto"/>
        <w:ind w:firstLine="540"/>
        <w:jc w:val="both"/>
      </w:pPr>
      <w:r>
        <w:rPr>
          <w:sz w:val="20"/>
        </w:rPr>
        <w:t xml:space="preserve">движение только в светлое время суток;</w:t>
      </w:r>
    </w:p>
    <w:p>
      <w:pPr>
        <w:pStyle w:val="0"/>
        <w:spacing w:before="200" w:line-rule="auto"/>
        <w:ind w:firstLine="540"/>
        <w:jc w:val="both"/>
      </w:pPr>
      <w:r>
        <w:rPr>
          <w:sz w:val="20"/>
        </w:rPr>
        <w:t xml:space="preserve">наличие автомобилей прикрытия, предусмотренных требованиями к организации движения по автомобильным дорогам тяжеловесного и (или) крупногабаритного транспортного средства,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наличие на тяжеловесной и (или) крупногабаритной сельскохозяйственной технике и элементах конструкции прицепного оборудования внешних световых приборов (габаритных, контурных и стояночных огней, сигналов торможения, указателей поворота, аварийной световой сигнализации, фонарей заднего хода), световозвращающих приспособлений и светоотражающей маркировки;</w:t>
      </w:r>
    </w:p>
    <w:p>
      <w:pPr>
        <w:pStyle w:val="0"/>
        <w:spacing w:before="200" w:line-rule="auto"/>
        <w:ind w:firstLine="540"/>
        <w:jc w:val="both"/>
      </w:pPr>
      <w:r>
        <w:rPr>
          <w:sz w:val="20"/>
        </w:rPr>
        <w:t xml:space="preserve">приведение сцепных устройств, агрегатов и систем их удержания в транспортное положение в соответствии с правилами эксплуатации, установленными заводом-изготовителем.</w:t>
      </w:r>
    </w:p>
    <w:p>
      <w:pPr>
        <w:pStyle w:val="0"/>
        <w:spacing w:before="200" w:line-rule="auto"/>
        <w:ind w:firstLine="540"/>
        <w:jc w:val="both"/>
      </w:pPr>
      <w:r>
        <w:rPr>
          <w:sz w:val="20"/>
        </w:rPr>
        <w:t xml:space="preserve">46. При движении по автомобильным дорогам общего пользования тяжеловесной и (или) крупногабаритной сельскохозяйственной техники с прицепным оборудованием, не подлежащим государственной регистрации, государственный регистрационный знак тягача (трактора, комбайна) должен быть продублирован путем установки на задней части прицепного оборудования дополнительной пластины, соответствующей типу 3, установленному </w:t>
      </w:r>
      <w:hyperlink w:history="0" r:id="rId31" w:tooltip="&quot;ГОСТ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quot; (утв. Приказом Росстандарта от 04.09.2018 N 555-ст) (ред. от 26.06.2020) {КонсультантПлюс}">
        <w:r>
          <w:rPr>
            <w:sz w:val="20"/>
            <w:color w:val="0000ff"/>
          </w:rPr>
          <w:t xml:space="preserve">ГОСТ Р 50577-2018</w:t>
        </w:r>
      </w:hyperlink>
      <w:r>
        <w:rPr>
          <w:sz w:val="20"/>
        </w:rPr>
        <w:t xml:space="preserve"> "Знаки государственные регистрационные транспортных средств. Типы и основные размеры. Технические требования", обеспечивающей его видимость и идентификацию с расстояния 20 метров.</w:t>
      </w:r>
    </w:p>
    <w:p>
      <w:pPr>
        <w:pStyle w:val="0"/>
        <w:jc w:val="both"/>
      </w:pPr>
      <w:r>
        <w:rPr>
          <w:sz w:val="20"/>
        </w:rPr>
      </w:r>
    </w:p>
    <w:p>
      <w:pPr>
        <w:pStyle w:val="2"/>
        <w:outlineLvl w:val="1"/>
        <w:jc w:val="center"/>
      </w:pPr>
      <w:r>
        <w:rPr>
          <w:sz w:val="20"/>
        </w:rPr>
        <w:t xml:space="preserve">VII. Порядок ведения реестра</w:t>
      </w:r>
    </w:p>
    <w:p>
      <w:pPr>
        <w:pStyle w:val="0"/>
        <w:jc w:val="both"/>
      </w:pPr>
      <w:r>
        <w:rPr>
          <w:sz w:val="20"/>
        </w:rPr>
      </w:r>
    </w:p>
    <w:p>
      <w:pPr>
        <w:pStyle w:val="0"/>
        <w:ind w:firstLine="540"/>
        <w:jc w:val="both"/>
      </w:pPr>
      <w:r>
        <w:rPr>
          <w:sz w:val="20"/>
        </w:rPr>
        <w:t xml:space="preserve">47. Реестр является государственным информационным ресурсом системы выдачи специального разрешения. Уполномоченным органом обеспечивается ведение реестра.</w:t>
      </w:r>
    </w:p>
    <w:p>
      <w:pPr>
        <w:pStyle w:val="0"/>
        <w:spacing w:before="200" w:line-rule="auto"/>
        <w:ind w:firstLine="540"/>
        <w:jc w:val="both"/>
      </w:pPr>
      <w:r>
        <w:rPr>
          <w:sz w:val="20"/>
        </w:rPr>
        <w:t xml:space="preserve">48. Сведения о специальных разрешениях в реестр вносятся уполномоченным органом и заверяются усиленной квалифицированной электронной подписью.</w:t>
      </w:r>
    </w:p>
    <w:p>
      <w:pPr>
        <w:pStyle w:val="0"/>
        <w:spacing w:before="200" w:line-rule="auto"/>
        <w:ind w:firstLine="540"/>
        <w:jc w:val="both"/>
      </w:pPr>
      <w:r>
        <w:rPr>
          <w:sz w:val="20"/>
        </w:rPr>
        <w:t xml:space="preserve">49. Сведения о специальном разрешении содержат следующую информацию:</w:t>
      </w:r>
    </w:p>
    <w:p>
      <w:pPr>
        <w:pStyle w:val="0"/>
        <w:spacing w:before="200" w:line-rule="auto"/>
        <w:ind w:firstLine="540"/>
        <w:jc w:val="both"/>
      </w:pPr>
      <w:r>
        <w:rPr>
          <w:sz w:val="20"/>
        </w:rPr>
        <w:t xml:space="preserve">а) матричный (двухмерный) штриховой код (QR-код);</w:t>
      </w:r>
    </w:p>
    <w:p>
      <w:pPr>
        <w:pStyle w:val="0"/>
        <w:spacing w:before="200" w:line-rule="auto"/>
        <w:ind w:firstLine="540"/>
        <w:jc w:val="both"/>
      </w:pPr>
      <w:r>
        <w:rPr>
          <w:sz w:val="20"/>
        </w:rPr>
        <w:t xml:space="preserve">б) номер специального разрешения;</w:t>
      </w:r>
    </w:p>
    <w:p>
      <w:pPr>
        <w:pStyle w:val="0"/>
        <w:spacing w:before="200" w:line-rule="auto"/>
        <w:ind w:firstLine="540"/>
        <w:jc w:val="both"/>
      </w:pPr>
      <w:r>
        <w:rPr>
          <w:sz w:val="20"/>
        </w:rPr>
        <w:t xml:space="preserve">в) дата выдачи специального разрешения;</w:t>
      </w:r>
    </w:p>
    <w:p>
      <w:pPr>
        <w:pStyle w:val="0"/>
        <w:spacing w:before="200" w:line-rule="auto"/>
        <w:ind w:firstLine="540"/>
        <w:jc w:val="both"/>
      </w:pPr>
      <w:r>
        <w:rPr>
          <w:sz w:val="20"/>
        </w:rPr>
        <w:t xml:space="preserve">г) вид перевозки (внутрироссийская, международная);</w:t>
      </w:r>
    </w:p>
    <w:p>
      <w:pPr>
        <w:pStyle w:val="0"/>
        <w:spacing w:before="200" w:line-rule="auto"/>
        <w:ind w:firstLine="540"/>
        <w:jc w:val="both"/>
      </w:pPr>
      <w:r>
        <w:rPr>
          <w:sz w:val="20"/>
        </w:rPr>
        <w:t xml:space="preserve">д) количество разрешенных поездок - для тяжеловесных транспортных средств;</w:t>
      </w:r>
    </w:p>
    <w:p>
      <w:pPr>
        <w:pStyle w:val="0"/>
        <w:spacing w:before="200" w:line-rule="auto"/>
        <w:ind w:firstLine="540"/>
        <w:jc w:val="both"/>
      </w:pPr>
      <w:r>
        <w:rPr>
          <w:sz w:val="20"/>
        </w:rPr>
        <w:t xml:space="preserve">е) срок выполнения поездок;</w:t>
      </w:r>
    </w:p>
    <w:p>
      <w:pPr>
        <w:pStyle w:val="0"/>
        <w:spacing w:before="200" w:line-rule="auto"/>
        <w:ind w:firstLine="540"/>
        <w:jc w:val="both"/>
      </w:pPr>
      <w:r>
        <w:rPr>
          <w:sz w:val="20"/>
        </w:rPr>
        <w:t xml:space="preserve">ж) маршрут транспортного средства;</w:t>
      </w:r>
    </w:p>
    <w:p>
      <w:pPr>
        <w:pStyle w:val="0"/>
        <w:spacing w:before="200" w:line-rule="auto"/>
        <w:ind w:firstLine="540"/>
        <w:jc w:val="both"/>
      </w:pPr>
      <w:r>
        <w:rPr>
          <w:sz w:val="20"/>
        </w:rPr>
        <w:t xml:space="preserve">з) сведения о допуске российского перевозчика к осуществлению международных автомобильных перевозок (в случае движения в международном сообщении);</w:t>
      </w:r>
    </w:p>
    <w:p>
      <w:pPr>
        <w:pStyle w:val="0"/>
        <w:spacing w:before="200" w:line-rule="auto"/>
        <w:ind w:firstLine="540"/>
        <w:jc w:val="both"/>
      </w:pPr>
      <w:r>
        <w:rPr>
          <w:sz w:val="20"/>
        </w:rPr>
        <w:t xml:space="preserve">и) сведения о транспортном средстве: марка, модель, государственный регистрационный номер, идентификационный номер, страна регистрации;</w:t>
      </w:r>
    </w:p>
    <w:p>
      <w:pPr>
        <w:pStyle w:val="0"/>
        <w:spacing w:before="200" w:line-rule="auto"/>
        <w:ind w:firstLine="540"/>
        <w:jc w:val="both"/>
      </w:pPr>
      <w:r>
        <w:rPr>
          <w:sz w:val="20"/>
        </w:rPr>
        <w:t xml:space="preserve">к) информация о заявителе: полное наименование, адрес в пределах места нахождения, телефон - для юридических лиц; фамилия, имя, отчество (при наличии), адрес регистрации по месту жительства, телефон - для физических лиц и индивидуальных предпринимателей;</w:t>
      </w:r>
    </w:p>
    <w:p>
      <w:pPr>
        <w:pStyle w:val="0"/>
        <w:spacing w:before="200" w:line-rule="auto"/>
        <w:ind w:firstLine="540"/>
        <w:jc w:val="both"/>
      </w:pPr>
      <w:r>
        <w:rPr>
          <w:sz w:val="20"/>
        </w:rPr>
        <w:t xml:space="preserve">л) характеристика груза (при наличии груза): габариты (длина, ширина, высота), масса;</w:t>
      </w:r>
    </w:p>
    <w:p>
      <w:pPr>
        <w:pStyle w:val="0"/>
        <w:spacing w:before="200" w:line-rule="auto"/>
        <w:ind w:firstLine="540"/>
        <w:jc w:val="both"/>
      </w:pPr>
      <w:r>
        <w:rPr>
          <w:sz w:val="20"/>
        </w:rPr>
        <w:t xml:space="preserve">м)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pPr>
        <w:pStyle w:val="0"/>
        <w:spacing w:before="200" w:line-rule="auto"/>
        <w:ind w:firstLine="540"/>
        <w:jc w:val="both"/>
      </w:pPr>
      <w:r>
        <w:rPr>
          <w:sz w:val="20"/>
        </w:rPr>
        <w:t xml:space="preserve">н) предполагаемая максимальная скорость движения транспортного средства (автопоезда), км/ч;</w:t>
      </w:r>
    </w:p>
    <w:p>
      <w:pPr>
        <w:pStyle w:val="0"/>
        <w:spacing w:before="200" w:line-rule="auto"/>
        <w:ind w:firstLine="540"/>
        <w:jc w:val="both"/>
      </w:pPr>
      <w:r>
        <w:rPr>
          <w:sz w:val="20"/>
        </w:rPr>
        <w:t xml:space="preserve">о) вид сопровождения;</w:t>
      </w:r>
    </w:p>
    <w:p>
      <w:pPr>
        <w:pStyle w:val="0"/>
        <w:spacing w:before="200" w:line-rule="auto"/>
        <w:ind w:firstLine="540"/>
        <w:jc w:val="both"/>
      </w:pPr>
      <w:r>
        <w:rPr>
          <w:sz w:val="20"/>
        </w:rPr>
        <w:t xml:space="preserve">п) особые условия движения;</w:t>
      </w:r>
    </w:p>
    <w:p>
      <w:pPr>
        <w:pStyle w:val="0"/>
        <w:spacing w:before="200" w:line-rule="auto"/>
        <w:ind w:firstLine="540"/>
        <w:jc w:val="both"/>
      </w:pPr>
      <w:r>
        <w:rPr>
          <w:sz w:val="20"/>
        </w:rPr>
        <w:t xml:space="preserve">р) сведения о владельцах автомобильных дорог, органы и организации, согласовавшие проект организации дорожного движения, реквизиты документов о согласовании (исходящий номер и дата);</w:t>
      </w:r>
    </w:p>
    <w:p>
      <w:pPr>
        <w:pStyle w:val="0"/>
        <w:spacing w:before="200" w:line-rule="auto"/>
        <w:ind w:firstLine="540"/>
        <w:jc w:val="both"/>
      </w:pPr>
      <w:r>
        <w:rPr>
          <w:sz w:val="20"/>
        </w:rPr>
        <w:t xml:space="preserve">с) схема тяжеловесного и (или) крупногабаритного транспортного средства (автопоезда);</w:t>
      </w:r>
    </w:p>
    <w:p>
      <w:pPr>
        <w:pStyle w:val="0"/>
        <w:spacing w:before="200" w:line-rule="auto"/>
        <w:ind w:firstLine="540"/>
        <w:jc w:val="both"/>
      </w:pPr>
      <w:r>
        <w:rPr>
          <w:sz w:val="20"/>
        </w:rPr>
        <w:t xml:space="preserve">т) сведения об электронной подписи уполномоченного органа.</w:t>
      </w:r>
    </w:p>
    <w:p>
      <w:pPr>
        <w:pStyle w:val="0"/>
        <w:jc w:val="both"/>
      </w:pPr>
      <w:r>
        <w:rPr>
          <w:sz w:val="20"/>
        </w:rPr>
      </w:r>
    </w:p>
    <w:p>
      <w:pPr>
        <w:pStyle w:val="2"/>
        <w:outlineLvl w:val="1"/>
        <w:jc w:val="center"/>
      </w:pPr>
      <w:r>
        <w:rPr>
          <w:sz w:val="20"/>
        </w:rPr>
        <w:t xml:space="preserve">VIII. Порядок взаимодействия уполномоченного органа</w:t>
      </w:r>
    </w:p>
    <w:p>
      <w:pPr>
        <w:pStyle w:val="2"/>
        <w:jc w:val="center"/>
      </w:pPr>
      <w:r>
        <w:rPr>
          <w:sz w:val="20"/>
        </w:rPr>
        <w:t xml:space="preserve">с владельцами автомобильных дорог в целях внесения сведений</w:t>
      </w:r>
    </w:p>
    <w:p>
      <w:pPr>
        <w:pStyle w:val="2"/>
        <w:jc w:val="center"/>
      </w:pPr>
      <w:r>
        <w:rPr>
          <w:sz w:val="20"/>
        </w:rPr>
        <w:t xml:space="preserve">о фактических значениях габарита приближения, технических</w:t>
      </w:r>
    </w:p>
    <w:p>
      <w:pPr>
        <w:pStyle w:val="2"/>
        <w:jc w:val="center"/>
      </w:pPr>
      <w:r>
        <w:rPr>
          <w:sz w:val="20"/>
        </w:rPr>
        <w:t xml:space="preserve">характеристик автомобильных дорог, допустимых весовых</w:t>
      </w:r>
    </w:p>
    <w:p>
      <w:pPr>
        <w:pStyle w:val="2"/>
        <w:jc w:val="center"/>
      </w:pPr>
      <w:r>
        <w:rPr>
          <w:sz w:val="20"/>
        </w:rPr>
        <w:t xml:space="preserve">параметров транспортных средств при движении</w:t>
      </w:r>
    </w:p>
    <w:p>
      <w:pPr>
        <w:pStyle w:val="2"/>
        <w:jc w:val="center"/>
      </w:pPr>
      <w:r>
        <w:rPr>
          <w:sz w:val="20"/>
        </w:rPr>
        <w:t xml:space="preserve">по автомобильным дорогам, введенных временных</w:t>
      </w:r>
    </w:p>
    <w:p>
      <w:pPr>
        <w:pStyle w:val="2"/>
        <w:jc w:val="center"/>
      </w:pPr>
      <w:r>
        <w:rPr>
          <w:sz w:val="20"/>
        </w:rPr>
        <w:t xml:space="preserve">ограничениях или прекращениях движения транспортных</w:t>
      </w:r>
    </w:p>
    <w:p>
      <w:pPr>
        <w:pStyle w:val="2"/>
        <w:jc w:val="center"/>
      </w:pPr>
      <w:r>
        <w:rPr>
          <w:sz w:val="20"/>
        </w:rPr>
        <w:t xml:space="preserve">средств по автомобильным дорогам или их участкам,</w:t>
      </w:r>
    </w:p>
    <w:p>
      <w:pPr>
        <w:pStyle w:val="2"/>
        <w:jc w:val="center"/>
      </w:pPr>
      <w:r>
        <w:rPr>
          <w:sz w:val="20"/>
        </w:rPr>
        <w:t xml:space="preserve">а также об особых условиях движения (при наличии)</w:t>
      </w:r>
    </w:p>
    <w:p>
      <w:pPr>
        <w:pStyle w:val="0"/>
        <w:jc w:val="both"/>
      </w:pPr>
      <w:r>
        <w:rPr>
          <w:sz w:val="20"/>
        </w:rPr>
      </w:r>
    </w:p>
    <w:p>
      <w:pPr>
        <w:pStyle w:val="0"/>
        <w:ind w:firstLine="540"/>
        <w:jc w:val="both"/>
      </w:pPr>
      <w:r>
        <w:rPr>
          <w:sz w:val="20"/>
        </w:rPr>
        <w:t xml:space="preserve">50. Основными функциями системы выдачи специального разрешения являются:</w:t>
      </w:r>
    </w:p>
    <w:p>
      <w:pPr>
        <w:pStyle w:val="0"/>
        <w:spacing w:before="200" w:line-rule="auto"/>
        <w:ind w:firstLine="540"/>
        <w:jc w:val="both"/>
      </w:pPr>
      <w:r>
        <w:rPr>
          <w:sz w:val="20"/>
        </w:rPr>
        <w:t xml:space="preserve">а) возможность приема заявлений на выдачу специального разрешения в соответствии с настоящими Правилами;</w:t>
      </w:r>
    </w:p>
    <w:p>
      <w:pPr>
        <w:pStyle w:val="0"/>
        <w:spacing w:before="200" w:line-rule="auto"/>
        <w:ind w:firstLine="540"/>
        <w:jc w:val="both"/>
      </w:pPr>
      <w:r>
        <w:rPr>
          <w:sz w:val="20"/>
        </w:rPr>
        <w:t xml:space="preserve">б) внесение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на автомобильных дорогах или их участках, а также об особых условиях движения (при наличии);</w:t>
      </w:r>
    </w:p>
    <w:p>
      <w:pPr>
        <w:pStyle w:val="0"/>
        <w:spacing w:before="200" w:line-rule="auto"/>
        <w:ind w:firstLine="540"/>
        <w:jc w:val="both"/>
      </w:pPr>
      <w:r>
        <w:rPr>
          <w:sz w:val="20"/>
        </w:rPr>
        <w:t xml:space="preserve">в) установление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pPr>
        <w:pStyle w:val="0"/>
        <w:spacing w:before="200" w:line-rule="auto"/>
        <w:ind w:firstLine="540"/>
        <w:jc w:val="both"/>
      </w:pPr>
      <w:r>
        <w:rPr>
          <w:sz w:val="20"/>
        </w:rPr>
        <w:t xml:space="preserve">г) расчет и внесение платы в счет возмещения вреда;</w:t>
      </w:r>
    </w:p>
    <w:p>
      <w:pPr>
        <w:pStyle w:val="0"/>
        <w:spacing w:before="200" w:line-rule="auto"/>
        <w:ind w:firstLine="540"/>
        <w:jc w:val="both"/>
      </w:pPr>
      <w:r>
        <w:rPr>
          <w:sz w:val="20"/>
        </w:rPr>
        <w:t xml:space="preserve">д) возможность согласования проекта организации дорожного движения и (или) перечня мер;</w:t>
      </w:r>
    </w:p>
    <w:p>
      <w:pPr>
        <w:pStyle w:val="0"/>
        <w:spacing w:before="200" w:line-rule="auto"/>
        <w:ind w:firstLine="540"/>
        <w:jc w:val="both"/>
      </w:pPr>
      <w:r>
        <w:rPr>
          <w:sz w:val="20"/>
        </w:rPr>
        <w:t xml:space="preserve">е) внесение в реестр сведений о специальном разрешении.</w:t>
      </w:r>
    </w:p>
    <w:p>
      <w:pPr>
        <w:pStyle w:val="0"/>
        <w:spacing w:before="200" w:line-rule="auto"/>
        <w:ind w:firstLine="540"/>
        <w:jc w:val="both"/>
      </w:pPr>
      <w:r>
        <w:rPr>
          <w:sz w:val="20"/>
        </w:rPr>
        <w:t xml:space="preserve">51. Программные, технические средства и информационные технологии системы выдачи специального разрешения используются оператором системы выдачи специального разрешения в целях:</w:t>
      </w:r>
    </w:p>
    <w:p>
      <w:pPr>
        <w:pStyle w:val="0"/>
        <w:spacing w:before="200" w:line-rule="auto"/>
        <w:ind w:firstLine="540"/>
        <w:jc w:val="both"/>
      </w:pPr>
      <w:r>
        <w:rPr>
          <w:sz w:val="20"/>
        </w:rPr>
        <w:t xml:space="preserve">а) ввода в систему выдачи специального разрешения владельцами автомобильных дорог сведений, подписанных усиленной квалифицированной электронной подписью (если владельцем автомобильной дороги общего пользования является физическое лицо, электронные документы могут быть подписаны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заполнения разработанных оператором системы выдачи специального разрешения электронных форм (шаблонов, формуляров) документов;</w:t>
      </w:r>
    </w:p>
    <w:p>
      <w:pPr>
        <w:pStyle w:val="0"/>
        <w:spacing w:before="200" w:line-rule="auto"/>
        <w:ind w:firstLine="540"/>
        <w:jc w:val="both"/>
      </w:pPr>
      <w:r>
        <w:rPr>
          <w:sz w:val="20"/>
        </w:rPr>
        <w:t xml:space="preserve">б) обмена данными с другими информационными системами с использованием согласованного интерфейса взаимодействия, в том числе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w:t>
      </w:r>
    </w:p>
    <w:p>
      <w:pPr>
        <w:pStyle w:val="0"/>
        <w:spacing w:before="200" w:line-rule="auto"/>
        <w:ind w:firstLine="540"/>
        <w:jc w:val="both"/>
      </w:pPr>
      <w:r>
        <w:rPr>
          <w:sz w:val="20"/>
        </w:rPr>
        <w:t xml:space="preserve">в) обеспечения открытости и доступности информации, за исключением информации, доступ к которой ограничен федеральными законами;</w:t>
      </w:r>
    </w:p>
    <w:p>
      <w:pPr>
        <w:pStyle w:val="0"/>
        <w:spacing w:before="200" w:line-rule="auto"/>
        <w:ind w:firstLine="540"/>
        <w:jc w:val="both"/>
      </w:pPr>
      <w:r>
        <w:rPr>
          <w:sz w:val="20"/>
        </w:rPr>
        <w:t xml:space="preserve">г) программно-технической защиты размещенной в системе выдачи специального разрешения информации;</w:t>
      </w:r>
    </w:p>
    <w:p>
      <w:pPr>
        <w:pStyle w:val="0"/>
        <w:spacing w:before="200" w:line-rule="auto"/>
        <w:ind w:firstLine="540"/>
        <w:jc w:val="both"/>
      </w:pPr>
      <w:r>
        <w:rPr>
          <w:sz w:val="20"/>
        </w:rPr>
        <w:t xml:space="preserve">д) информационного взаимодействия между оператором, владельцами автомобильных дорог, заявителями, подразделениями Госавтоинспекции для направления уведомлений, запросов и информации, обмена сообщениями;</w:t>
      </w:r>
    </w:p>
    <w:p>
      <w:pPr>
        <w:pStyle w:val="0"/>
        <w:spacing w:before="200" w:line-rule="auto"/>
        <w:ind w:firstLine="540"/>
        <w:jc w:val="both"/>
      </w:pPr>
      <w:r>
        <w:rPr>
          <w:sz w:val="20"/>
        </w:rPr>
        <w:t xml:space="preserve">е) автоматизированного ведения электронных журналов учета операций, осуществляемых в системе выдачи специального разрешения, с фиксацией размещения и изменения информации, точного времени совершения таких операций, содержания изменений и сведений о поставщиках информации, осуществивших указанные действия;</w:t>
      </w:r>
    </w:p>
    <w:p>
      <w:pPr>
        <w:pStyle w:val="0"/>
        <w:spacing w:before="200" w:line-rule="auto"/>
        <w:ind w:firstLine="540"/>
        <w:jc w:val="both"/>
      </w:pPr>
      <w:r>
        <w:rPr>
          <w:sz w:val="20"/>
        </w:rPr>
        <w:t xml:space="preserve">ж) копирования размещенной в системе выдачи специального разрешения информации на резервные материальные носители с возможностью ее восстановления с использованием таких носителей в течение одних суток со дня возникновения полной или частичной технической недоступности системы выдачи специального разрешения для пользователей;</w:t>
      </w:r>
    </w:p>
    <w:p>
      <w:pPr>
        <w:pStyle w:val="0"/>
        <w:spacing w:before="200" w:line-rule="auto"/>
        <w:ind w:firstLine="540"/>
        <w:jc w:val="both"/>
      </w:pPr>
      <w:r>
        <w:rPr>
          <w:sz w:val="20"/>
        </w:rPr>
        <w:t xml:space="preserve">з) защиты размещенной в системе выдачи специального разрешения информации от несанкционированного копирования, распространения, уничтожения, изменения и блокирования доступа к ней, а также защиты системы выдачи специального разрешения и защиты информации от неправомерных действий со стороны пользователей информации.</w:t>
      </w:r>
    </w:p>
    <w:p>
      <w:pPr>
        <w:pStyle w:val="0"/>
        <w:spacing w:before="200" w:line-rule="auto"/>
        <w:ind w:firstLine="540"/>
        <w:jc w:val="both"/>
      </w:pPr>
      <w:r>
        <w:rPr>
          <w:sz w:val="20"/>
        </w:rPr>
        <w:t xml:space="preserve">52. Оператор системы посредством системы выдачи специального разрешения обеспечивает:</w:t>
      </w:r>
    </w:p>
    <w:p>
      <w:pPr>
        <w:pStyle w:val="0"/>
        <w:spacing w:before="200" w:line-rule="auto"/>
        <w:ind w:firstLine="540"/>
        <w:jc w:val="both"/>
      </w:pPr>
      <w:r>
        <w:rPr>
          <w:sz w:val="20"/>
        </w:rPr>
        <w:t xml:space="preserve">а) сбор, хранение, включая резервное копирование, предоставление доступа к сведениям, содержащимся в системе выдачи специального разрешения;</w:t>
      </w:r>
    </w:p>
    <w:p>
      <w:pPr>
        <w:pStyle w:val="0"/>
        <w:spacing w:before="200" w:line-rule="auto"/>
        <w:ind w:firstLine="540"/>
        <w:jc w:val="both"/>
      </w:pPr>
      <w:r>
        <w:rPr>
          <w:sz w:val="20"/>
        </w:rPr>
        <w:t xml:space="preserve">б) возможность представления и размещения владельцами автомобильных дорог в системе выдачи специального разрешения информации, представляемой и размещаемой ими в порядке, установленном </w:t>
      </w:r>
      <w:hyperlink w:history="0" w:anchor="P331" w:tooltip="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w:r>
          <w:rPr>
            <w:sz w:val="20"/>
            <w:color w:val="0000ff"/>
          </w:rPr>
          <w:t xml:space="preserve">пунктами 55</w:t>
        </w:r>
      </w:hyperlink>
      <w:r>
        <w:rPr>
          <w:sz w:val="20"/>
        </w:rPr>
        <w:t xml:space="preserve"> - </w:t>
      </w:r>
      <w:hyperlink w:history="0" w:anchor="P336" w:tooltip="58. Ответственность в соответствии с законодательством Российской Федерации за полноту, актуальность, корректность и достоверность размещенной в системе выдачи специального разрешения информации, в том числе ответственность за соответствие включенной в состав информации электронной копии (электронного образа) документа его подлиннику на бумажном носителе, несет разместивший ее владелец автомобильной дороги.">
        <w:r>
          <w:rPr>
            <w:sz w:val="20"/>
            <w:color w:val="0000ff"/>
          </w:rPr>
          <w:t xml:space="preserve">58</w:t>
        </w:r>
      </w:hyperlink>
      <w:r>
        <w:rPr>
          <w:sz w:val="20"/>
        </w:rPr>
        <w:t xml:space="preserve"> настоящих Правил;</w:t>
      </w:r>
    </w:p>
    <w:p>
      <w:pPr>
        <w:pStyle w:val="0"/>
        <w:spacing w:before="200" w:line-rule="auto"/>
        <w:ind w:firstLine="540"/>
        <w:jc w:val="both"/>
      </w:pPr>
      <w:r>
        <w:rPr>
          <w:sz w:val="20"/>
        </w:rPr>
        <w:t xml:space="preserve">в) организацию консультационной поддержки пользователей системы выдачи специального разрешения;</w:t>
      </w:r>
    </w:p>
    <w:p>
      <w:pPr>
        <w:pStyle w:val="0"/>
        <w:spacing w:before="200" w:line-rule="auto"/>
        <w:ind w:firstLine="540"/>
        <w:jc w:val="both"/>
      </w:pPr>
      <w:r>
        <w:rPr>
          <w:sz w:val="20"/>
        </w:rPr>
        <w:t xml:space="preserve">г) осуществление анализа и обработку информации, содержащейся в системе выдачи специального разрешения;</w:t>
      </w:r>
    </w:p>
    <w:p>
      <w:pPr>
        <w:pStyle w:val="0"/>
        <w:spacing w:before="200" w:line-rule="auto"/>
        <w:ind w:firstLine="540"/>
        <w:jc w:val="both"/>
      </w:pPr>
      <w:r>
        <w:rPr>
          <w:sz w:val="20"/>
        </w:rPr>
        <w:t xml:space="preserve">д) проверку полноты информации, содержащейся в системе выдачи специального разрешения;</w:t>
      </w:r>
    </w:p>
    <w:p>
      <w:pPr>
        <w:pStyle w:val="0"/>
        <w:spacing w:before="200" w:line-rule="auto"/>
        <w:ind w:firstLine="540"/>
        <w:jc w:val="both"/>
      </w:pPr>
      <w:r>
        <w:rPr>
          <w:sz w:val="20"/>
        </w:rPr>
        <w:t xml:space="preserve">е) предоставление пользователям информации, содержащейся в системе выдачи специального разрешения, в соответствии с их ролями;</w:t>
      </w:r>
    </w:p>
    <w:p>
      <w:pPr>
        <w:pStyle w:val="0"/>
        <w:spacing w:before="200" w:line-rule="auto"/>
        <w:ind w:firstLine="540"/>
        <w:jc w:val="both"/>
      </w:pPr>
      <w:r>
        <w:rPr>
          <w:sz w:val="20"/>
        </w:rPr>
        <w:t xml:space="preserve">ж) сервисное обслуживание, обновление и адаптацию программного обеспечения, используемого в системе выдачи специального разрешения;</w:t>
      </w:r>
    </w:p>
    <w:p>
      <w:pPr>
        <w:pStyle w:val="0"/>
        <w:spacing w:before="200" w:line-rule="auto"/>
        <w:ind w:firstLine="540"/>
        <w:jc w:val="both"/>
      </w:pPr>
      <w:r>
        <w:rPr>
          <w:sz w:val="20"/>
        </w:rPr>
        <w:t xml:space="preserve">з) бесперебойное функционирование системы выдачи специального разрешения, за исключением случаев, предусмотренных </w:t>
      </w:r>
      <w:hyperlink w:history="0" w:anchor="P330" w:tooltip="54. Оператор системы выдачи специального разрешения несет ответственность за круглосуточную непрерывную работу системы выдачи специального разрешения, за исключением заблаговременно (не менее чем за 6 часов) объявляемых в системе выдачи специального разрешения плановых перерывов для проведения регламентных и технологических работ, производящихся не чаще двух раз в течение одного календарного месяца, длительность которых не может превышать двенадцати часов в пределах одних суток, за исключением перерывов,...">
        <w:r>
          <w:rPr>
            <w:sz w:val="20"/>
            <w:color w:val="0000ff"/>
          </w:rPr>
          <w:t xml:space="preserve">пунктом 54</w:t>
        </w:r>
      </w:hyperlink>
      <w:r>
        <w:rPr>
          <w:sz w:val="20"/>
        </w:rPr>
        <w:t xml:space="preserve"> настоящих Правил.</w:t>
      </w:r>
    </w:p>
    <w:p>
      <w:pPr>
        <w:pStyle w:val="0"/>
        <w:spacing w:before="200" w:line-rule="auto"/>
        <w:ind w:firstLine="540"/>
        <w:jc w:val="both"/>
      </w:pPr>
      <w:r>
        <w:rPr>
          <w:sz w:val="20"/>
        </w:rPr>
        <w:t xml:space="preserve">53. Оператор системы выдачи специального разрешения в целях выдачи специального разрешения запрашивает посредством межведомственного информационного взаимодействия с использованием единой системы информацию, содержащуюся в государственной информационной системе электронных перевозочных документов, а также в других государственных информационных системах.</w:t>
      </w:r>
    </w:p>
    <w:bookmarkStart w:id="330" w:name="P330"/>
    <w:bookmarkEnd w:id="330"/>
    <w:p>
      <w:pPr>
        <w:pStyle w:val="0"/>
        <w:spacing w:before="200" w:line-rule="auto"/>
        <w:ind w:firstLine="540"/>
        <w:jc w:val="both"/>
      </w:pPr>
      <w:r>
        <w:rPr>
          <w:sz w:val="20"/>
        </w:rPr>
        <w:t xml:space="preserve">54. Оператор системы выдачи специального разрешения несет ответственность за круглосуточную непрерывную работу системы выдачи специального разрешения, за исключением заблаговременно (не менее чем за 6 часов) объявляемых в системе выдачи специального разрешения плановых перерывов для проведения регламентных и технологических работ, производящихся не чаще двух раз в течение одного календарного месяца, длительность которых не может превышать двенадцати часов в пределах одних суток, за исключением перерывов, связанных с возникновением технических неполадок (технологических сбоев) в системе выдачи специального разрешения.</w:t>
      </w:r>
    </w:p>
    <w:bookmarkStart w:id="331" w:name="P331"/>
    <w:bookmarkEnd w:id="331"/>
    <w:p>
      <w:pPr>
        <w:pStyle w:val="0"/>
        <w:spacing w:before="200" w:line-rule="auto"/>
        <w:ind w:firstLine="540"/>
        <w:jc w:val="both"/>
      </w:pPr>
      <w:r>
        <w:rPr>
          <w:sz w:val="20"/>
        </w:rPr>
        <w:t xml:space="preserve">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доступ к которому осуществляется через официальный сайт оператора системы выдачи специального разрешения.</w:t>
      </w:r>
    </w:p>
    <w:p>
      <w:pPr>
        <w:pStyle w:val="0"/>
        <w:spacing w:before="200" w:line-rule="auto"/>
        <w:ind w:firstLine="540"/>
        <w:jc w:val="both"/>
      </w:pPr>
      <w:r>
        <w:rPr>
          <w:sz w:val="20"/>
        </w:rPr>
        <w:t xml:space="preserve">Подписание вносимых сведений об автомобильных дорогах осуществляется усиленной квалифицированной электронной подписью указанного ответственного лица.</w:t>
      </w:r>
    </w:p>
    <w:p>
      <w:pPr>
        <w:pStyle w:val="0"/>
        <w:spacing w:before="200" w:line-rule="auto"/>
        <w:ind w:firstLine="540"/>
        <w:jc w:val="both"/>
      </w:pPr>
      <w:r>
        <w:rPr>
          <w:sz w:val="20"/>
        </w:rPr>
        <w:t xml:space="preserve">Владелец автомобильной дороги - физическое лицо вправе при наличии технической возможности подписать вносимые сведения об автомобильных дорогах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подписи.</w:t>
      </w:r>
    </w:p>
    <w:p>
      <w:pPr>
        <w:pStyle w:val="0"/>
        <w:spacing w:before="200" w:line-rule="auto"/>
        <w:ind w:firstLine="540"/>
        <w:jc w:val="both"/>
      </w:pPr>
      <w:r>
        <w:rPr>
          <w:sz w:val="20"/>
        </w:rPr>
        <w:t xml:space="preserve">56. Состав сведений об автомобильных дорогах, вносимых владельцами автомобильной дороги в систему выдачи специального разрешения в соответствии с </w:t>
      </w:r>
      <w:hyperlink w:history="0" w:anchor="P331" w:tooltip="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w:r>
          <w:rPr>
            <w:sz w:val="20"/>
            <w:color w:val="0000ff"/>
          </w:rPr>
          <w:t xml:space="preserve">пунктом 55</w:t>
        </w:r>
      </w:hyperlink>
      <w:r>
        <w:rPr>
          <w:sz w:val="20"/>
        </w:rPr>
        <w:t xml:space="preserve"> настоящих Правил, определяется в соответствии с </w:t>
      </w:r>
      <w:hyperlink w:history="0" w:anchor="P648" w:tooltip="СОСТАВ">
        <w:r>
          <w:rPr>
            <w:sz w:val="20"/>
            <w:color w:val="0000ff"/>
          </w:rPr>
          <w:t xml:space="preserve">приложением N 6</w:t>
        </w:r>
      </w:hyperlink>
      <w:r>
        <w:rPr>
          <w:sz w:val="20"/>
        </w:rPr>
        <w:t xml:space="preserve">.</w:t>
      </w:r>
    </w:p>
    <w:p>
      <w:pPr>
        <w:pStyle w:val="0"/>
        <w:spacing w:before="200" w:line-rule="auto"/>
        <w:ind w:firstLine="540"/>
        <w:jc w:val="both"/>
      </w:pPr>
      <w:r>
        <w:rPr>
          <w:sz w:val="20"/>
        </w:rPr>
        <w:t xml:space="preserve">57. Изменение сведений об автомобильных дорогах, внесенных в систему выдачи специального разрешения, в том числе актуализация соответствующей информации, осуществляется владельцем автомобильной дороги в порядке, предусмотренном </w:t>
      </w:r>
      <w:hyperlink w:history="0" w:anchor="P331" w:tooltip="55. Внесение сведений об автомобильных дорогах в систему выдачи специального разрешения осуществляется ответственным лицом органа государственной власти субъекта Российской Федерации или органа местного самоуправления, уполномоченного на осуществление дорожной деятельности, ответственным лицом владеющего автомобильной дорогой юридического лица или владеющим автомобильной дорогой физическим лицом посредством удаленного рабочего места владельца автомобильной дороги в системе выдачи специального разрешения,...">
        <w:r>
          <w:rPr>
            <w:sz w:val="20"/>
            <w:color w:val="0000ff"/>
          </w:rPr>
          <w:t xml:space="preserve">пунктом 55</w:t>
        </w:r>
      </w:hyperlink>
      <w:r>
        <w:rPr>
          <w:sz w:val="20"/>
        </w:rPr>
        <w:t xml:space="preserve"> настоящих Правил, в течение одного рабочего дня со дня оформления отчета о транспортно-эксплуатационном состоянии автомобильных дорог.</w:t>
      </w:r>
    </w:p>
    <w:bookmarkStart w:id="336" w:name="P336"/>
    <w:bookmarkEnd w:id="336"/>
    <w:p>
      <w:pPr>
        <w:pStyle w:val="0"/>
        <w:spacing w:before="200" w:line-rule="auto"/>
        <w:ind w:firstLine="540"/>
        <w:jc w:val="both"/>
      </w:pPr>
      <w:r>
        <w:rPr>
          <w:sz w:val="20"/>
        </w:rPr>
        <w:t xml:space="preserve">58. Ответственность в соответствии с законодательством Российской Федерации за полноту, актуальность, корректность и достоверность размещенной в системе выдачи специального разрешения информации, в том числе ответственность за соответствие включенной в состав информации электронной копии (электронного образа) документа его подлиннику на бумажном носителе, несет разместивший ее владелец автомобильной дороги.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347" w:name="P347"/>
    <w:bookmarkEnd w:id="347"/>
    <w:p>
      <w:pPr>
        <w:pStyle w:val="2"/>
        <w:jc w:val="center"/>
      </w:pPr>
      <w:r>
        <w:rPr>
          <w:sz w:val="20"/>
        </w:rPr>
        <w:t xml:space="preserve">ДОПУСТИМЫЕ ГАБАРИТЫ ТРАНСПОРТНОГО СРЕДСТВА</w:t>
      </w:r>
    </w:p>
    <w:p>
      <w:pPr>
        <w:pStyle w:val="0"/>
        <w:jc w:val="both"/>
      </w:pPr>
      <w:r>
        <w:rPr>
          <w:sz w:val="20"/>
        </w:rPr>
      </w:r>
    </w:p>
    <w:p>
      <w:pPr>
        <w:pStyle w:val="2"/>
        <w:outlineLvl w:val="2"/>
        <w:jc w:val="center"/>
      </w:pPr>
      <w:r>
        <w:rPr>
          <w:sz w:val="20"/>
        </w:rPr>
        <w:t xml:space="preserve">Длина</w:t>
      </w:r>
    </w:p>
    <w:p>
      <w:pPr>
        <w:pStyle w:val="0"/>
        <w:jc w:val="both"/>
      </w:pPr>
      <w:r>
        <w:rPr>
          <w:sz w:val="20"/>
        </w:rPr>
      </w:r>
    </w:p>
    <w:tbl>
      <w:tblPr>
        <w:tblInd w:w="0" w:type="dxa"/>
        <w:tblLayout w:type="fixed"/>
        <w:tblCellMar>
          <w:top w:w="102" w:type="dxa"/>
          <w:left w:w="62" w:type="dxa"/>
          <w:bottom w:w="102" w:type="dxa"/>
          <w:right w:w="62" w:type="dxa"/>
        </w:tblCellMar>
      </w:tblPr>
      <w:tblGrid>
        <w:gridCol w:w="6180"/>
        <w:gridCol w:w="567"/>
        <w:gridCol w:w="2324"/>
      </w:tblGrid>
      <w:tr>
        <w:tc>
          <w:tcPr>
            <w:tcW w:w="6180" w:type="dxa"/>
            <w:tcBorders>
              <w:top w:val="nil"/>
              <w:left w:val="nil"/>
              <w:bottom w:val="nil"/>
              <w:right w:val="nil"/>
            </w:tcBorders>
          </w:tcPr>
          <w:p>
            <w:pPr>
              <w:pStyle w:val="0"/>
              <w:jc w:val="both"/>
            </w:pPr>
            <w:r>
              <w:rPr>
                <w:sz w:val="20"/>
              </w:rPr>
              <w:t xml:space="preserve">Одиночное транспортное средство</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12 метров</w:t>
            </w:r>
          </w:p>
        </w:tc>
      </w:tr>
      <w:tr>
        <w:tc>
          <w:tcPr>
            <w:tcW w:w="6180" w:type="dxa"/>
            <w:tcBorders>
              <w:top w:val="nil"/>
              <w:left w:val="nil"/>
              <w:bottom w:val="nil"/>
              <w:right w:val="nil"/>
            </w:tcBorders>
          </w:tcPr>
          <w:p>
            <w:pPr>
              <w:pStyle w:val="0"/>
              <w:jc w:val="both"/>
            </w:pPr>
            <w:r>
              <w:rPr>
                <w:sz w:val="20"/>
              </w:rPr>
              <w:t xml:space="preserve">Прицеп</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12 метров</w:t>
            </w:r>
          </w:p>
        </w:tc>
      </w:tr>
      <w:tr>
        <w:tc>
          <w:tcPr>
            <w:tcW w:w="6180" w:type="dxa"/>
            <w:tcBorders>
              <w:top w:val="nil"/>
              <w:left w:val="nil"/>
              <w:bottom w:val="nil"/>
              <w:right w:val="nil"/>
            </w:tcBorders>
          </w:tcPr>
          <w:p>
            <w:pPr>
              <w:pStyle w:val="0"/>
              <w:jc w:val="both"/>
            </w:pPr>
            <w:r>
              <w:rPr>
                <w:sz w:val="20"/>
              </w:rPr>
              <w:t xml:space="preserve">Автопоезд</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20 метров</w:t>
            </w:r>
          </w:p>
        </w:tc>
      </w:tr>
      <w:tr>
        <w:tc>
          <w:tcPr>
            <w:tcW w:w="6180" w:type="dxa"/>
            <w:tcBorders>
              <w:top w:val="nil"/>
              <w:left w:val="nil"/>
              <w:bottom w:val="nil"/>
              <w:right w:val="nil"/>
            </w:tcBorders>
          </w:tcPr>
          <w:p>
            <w:pPr>
              <w:pStyle w:val="0"/>
              <w:jc w:val="both"/>
            </w:pPr>
            <w:r>
              <w:rPr>
                <w:sz w:val="20"/>
              </w:rPr>
              <w:t xml:space="preserve">Автобус двухосный</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13,5 метра</w:t>
            </w:r>
          </w:p>
        </w:tc>
      </w:tr>
      <w:tr>
        <w:tc>
          <w:tcPr>
            <w:tcW w:w="6180" w:type="dxa"/>
            <w:tcBorders>
              <w:top w:val="nil"/>
              <w:left w:val="nil"/>
              <w:bottom w:val="nil"/>
              <w:right w:val="nil"/>
            </w:tcBorders>
          </w:tcPr>
          <w:p>
            <w:pPr>
              <w:pStyle w:val="0"/>
              <w:jc w:val="both"/>
            </w:pPr>
            <w:r>
              <w:rPr>
                <w:sz w:val="20"/>
              </w:rPr>
              <w:t xml:space="preserve">Автобус с числом осей более 2</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15 метров</w:t>
            </w:r>
          </w:p>
        </w:tc>
      </w:tr>
      <w:tr>
        <w:tc>
          <w:tcPr>
            <w:tcW w:w="6180" w:type="dxa"/>
            <w:tcBorders>
              <w:top w:val="nil"/>
              <w:left w:val="nil"/>
              <w:bottom w:val="nil"/>
              <w:right w:val="nil"/>
            </w:tcBorders>
          </w:tcPr>
          <w:p>
            <w:pPr>
              <w:pStyle w:val="0"/>
              <w:jc w:val="both"/>
            </w:pPr>
            <w:r>
              <w:rPr>
                <w:sz w:val="20"/>
              </w:rPr>
              <w:t xml:space="preserve">Автобус сочлененный</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18,75 метра</w:t>
            </w:r>
          </w:p>
        </w:tc>
      </w:tr>
      <w:tr>
        <w:tc>
          <w:tcPr>
            <w:tcW w:w="6180" w:type="dxa"/>
            <w:tcBorders>
              <w:top w:val="nil"/>
              <w:left w:val="nil"/>
              <w:bottom w:val="nil"/>
              <w:right w:val="nil"/>
            </w:tcBorders>
          </w:tcPr>
          <w:p>
            <w:pPr>
              <w:pStyle w:val="0"/>
            </w:pPr>
            <w:r>
              <w:rPr>
                <w:sz w:val="20"/>
              </w:rPr>
              <w:t xml:space="preserve">Длина выступающего за заднюю точку габарита транспортного средства груза</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2 метра</w:t>
            </w:r>
          </w:p>
        </w:tc>
      </w:tr>
    </w:tbl>
    <w:p>
      <w:pPr>
        <w:pStyle w:val="0"/>
        <w:jc w:val="both"/>
      </w:pPr>
      <w:r>
        <w:rPr>
          <w:sz w:val="20"/>
        </w:rPr>
      </w:r>
    </w:p>
    <w:p>
      <w:pPr>
        <w:pStyle w:val="2"/>
        <w:outlineLvl w:val="2"/>
        <w:jc w:val="center"/>
      </w:pPr>
      <w:r>
        <w:rPr>
          <w:sz w:val="20"/>
        </w:rPr>
        <w:t xml:space="preserve">Ширина</w:t>
      </w:r>
    </w:p>
    <w:p>
      <w:pPr>
        <w:pStyle w:val="0"/>
        <w:jc w:val="both"/>
      </w:pPr>
      <w:r>
        <w:rPr>
          <w:sz w:val="20"/>
        </w:rPr>
      </w:r>
    </w:p>
    <w:tbl>
      <w:tblPr>
        <w:tblInd w:w="0" w:type="dxa"/>
        <w:tblLayout w:type="fixed"/>
        <w:tblCellMar>
          <w:top w:w="102" w:type="dxa"/>
          <w:left w:w="62" w:type="dxa"/>
          <w:bottom w:w="102" w:type="dxa"/>
          <w:right w:w="62" w:type="dxa"/>
        </w:tblCellMar>
      </w:tblPr>
      <w:tblGrid>
        <w:gridCol w:w="6180"/>
        <w:gridCol w:w="567"/>
        <w:gridCol w:w="2324"/>
      </w:tblGrid>
      <w:tr>
        <w:tc>
          <w:tcPr>
            <w:tcW w:w="6180" w:type="dxa"/>
            <w:tcBorders>
              <w:top w:val="nil"/>
              <w:left w:val="nil"/>
              <w:bottom w:val="nil"/>
              <w:right w:val="nil"/>
            </w:tcBorders>
          </w:tcPr>
          <w:p>
            <w:pPr>
              <w:pStyle w:val="0"/>
              <w:jc w:val="both"/>
            </w:pPr>
            <w:r>
              <w:rPr>
                <w:sz w:val="20"/>
              </w:rPr>
              <w:t xml:space="preserve">Все транспортные средства</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2,6 метра</w:t>
            </w:r>
          </w:p>
        </w:tc>
      </w:tr>
    </w:tbl>
    <w:p>
      <w:pPr>
        <w:pStyle w:val="0"/>
        <w:jc w:val="both"/>
      </w:pPr>
      <w:r>
        <w:rPr>
          <w:sz w:val="20"/>
        </w:rPr>
      </w:r>
    </w:p>
    <w:p>
      <w:pPr>
        <w:pStyle w:val="2"/>
        <w:outlineLvl w:val="2"/>
        <w:jc w:val="center"/>
      </w:pPr>
      <w:r>
        <w:rPr>
          <w:sz w:val="20"/>
        </w:rPr>
        <w:t xml:space="preserve">Высота</w:t>
      </w:r>
    </w:p>
    <w:p>
      <w:pPr>
        <w:pStyle w:val="0"/>
        <w:jc w:val="both"/>
      </w:pPr>
      <w:r>
        <w:rPr>
          <w:sz w:val="20"/>
        </w:rPr>
      </w:r>
    </w:p>
    <w:tbl>
      <w:tblPr>
        <w:tblInd w:w="0" w:type="dxa"/>
        <w:tblLayout w:type="fixed"/>
        <w:tblCellMar>
          <w:top w:w="102" w:type="dxa"/>
          <w:left w:w="62" w:type="dxa"/>
          <w:bottom w:w="102" w:type="dxa"/>
          <w:right w:w="62" w:type="dxa"/>
        </w:tblCellMar>
      </w:tblPr>
      <w:tblGrid>
        <w:gridCol w:w="6180"/>
        <w:gridCol w:w="567"/>
        <w:gridCol w:w="2324"/>
      </w:tblGrid>
      <w:tr>
        <w:tc>
          <w:tcPr>
            <w:tcW w:w="6180" w:type="dxa"/>
            <w:tcBorders>
              <w:top w:val="nil"/>
              <w:left w:val="nil"/>
              <w:bottom w:val="nil"/>
              <w:right w:val="nil"/>
            </w:tcBorders>
          </w:tcPr>
          <w:p>
            <w:pPr>
              <w:pStyle w:val="0"/>
              <w:jc w:val="both"/>
            </w:pPr>
            <w:r>
              <w:rPr>
                <w:sz w:val="20"/>
              </w:rPr>
              <w:t xml:space="preserve">Все транспортные средства</w:t>
            </w:r>
          </w:p>
        </w:tc>
        <w:tc>
          <w:tcPr>
            <w:tcW w:w="567" w:type="dxa"/>
            <w:tcBorders>
              <w:top w:val="nil"/>
              <w:left w:val="nil"/>
              <w:bottom w:val="nil"/>
              <w:right w:val="nil"/>
            </w:tcBorders>
          </w:tcPr>
          <w:p>
            <w:pPr>
              <w:pStyle w:val="0"/>
              <w:jc w:val="both"/>
            </w:pPr>
            <w:r>
              <w:rPr>
                <w:sz w:val="20"/>
              </w:rPr>
              <w:t xml:space="preserve">-</w:t>
            </w:r>
          </w:p>
        </w:tc>
        <w:tc>
          <w:tcPr>
            <w:tcW w:w="2324" w:type="dxa"/>
            <w:tcBorders>
              <w:top w:val="nil"/>
              <w:left w:val="nil"/>
              <w:bottom w:val="nil"/>
              <w:right w:val="nil"/>
            </w:tcBorders>
          </w:tcPr>
          <w:p>
            <w:pPr>
              <w:pStyle w:val="0"/>
              <w:jc w:val="center"/>
            </w:pPr>
            <w:r>
              <w:rPr>
                <w:sz w:val="20"/>
              </w:rPr>
              <w:t xml:space="preserve">4 метра</w:t>
            </w:r>
          </w:p>
        </w:tc>
      </w:tr>
    </w:tbl>
    <w:p>
      <w:pPr>
        <w:pStyle w:val="0"/>
        <w:jc w:val="both"/>
      </w:pPr>
      <w:r>
        <w:rPr>
          <w:sz w:val="20"/>
        </w:rPr>
      </w:r>
    </w:p>
    <w:p>
      <w:pPr>
        <w:pStyle w:val="0"/>
        <w:ind w:firstLine="540"/>
        <w:jc w:val="both"/>
      </w:pPr>
      <w:r>
        <w:rPr>
          <w:sz w:val="20"/>
        </w:rPr>
        <w:t xml:space="preserve">Примечание. Предельно допустимые габариты транспортных средств включают в себя размеры съемных кузовов и тары для грузов, включая контейнеры, а также прицепное оборудование сельскохозяйственной техники.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396" w:name="P396"/>
    <w:bookmarkEnd w:id="396"/>
    <w:p>
      <w:pPr>
        <w:pStyle w:val="2"/>
        <w:jc w:val="center"/>
      </w:pPr>
      <w:r>
        <w:rPr>
          <w:sz w:val="20"/>
        </w:rPr>
        <w:t xml:space="preserve">ДОПУСТИМАЯ НАГРУЗКА НА ОСЬ ТРАНСПОРТНОГО СРЕДСТВА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267"/>
        <w:gridCol w:w="2041"/>
        <w:gridCol w:w="1586"/>
        <w:gridCol w:w="1586"/>
        <w:gridCol w:w="1587"/>
      </w:tblGrid>
      <w:tr>
        <w:tblPrEx>
          <w:tblBorders>
            <w:insideV w:val="single" w:sz="4"/>
            <w:insideH w:val="single" w:sz="4"/>
          </w:tblBorders>
        </w:tblPrEx>
        <w:tc>
          <w:tcPr>
            <w:tcW w:w="2267" w:type="dxa"/>
            <w:tcBorders>
              <w:top w:val="single" w:sz="4"/>
              <w:left w:val="nil"/>
              <w:bottom w:val="single" w:sz="4"/>
            </w:tcBorders>
            <w:vMerge w:val="restart"/>
          </w:tcPr>
          <w:p>
            <w:pPr>
              <w:pStyle w:val="0"/>
              <w:jc w:val="center"/>
            </w:pPr>
            <w:r>
              <w:rPr>
                <w:sz w:val="20"/>
              </w:rPr>
              <w:t xml:space="preserve">Расположение осей транспортного средства </w:t>
            </w:r>
            <w:hyperlink w:history="0" w:anchor="P479" w:tooltip="&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
              <w:r>
                <w:rPr>
                  <w:sz w:val="20"/>
                  <w:color w:val="0000ff"/>
                </w:rPr>
                <w:t xml:space="preserve">&lt;*&gt;</w:t>
              </w:r>
            </w:hyperlink>
          </w:p>
        </w:tc>
        <w:tc>
          <w:tcPr>
            <w:tcW w:w="2041" w:type="dxa"/>
            <w:tcBorders>
              <w:top w:val="single" w:sz="4"/>
              <w:bottom w:val="single" w:sz="4"/>
            </w:tcBorders>
            <w:vMerge w:val="restart"/>
          </w:tcPr>
          <w:p>
            <w:pPr>
              <w:pStyle w:val="0"/>
              <w:jc w:val="center"/>
            </w:pPr>
            <w:r>
              <w:rPr>
                <w:sz w:val="20"/>
              </w:rPr>
              <w:t xml:space="preserve">Расстояние между сближенными осями, метров</w:t>
            </w:r>
          </w:p>
        </w:tc>
        <w:tc>
          <w:tcPr>
            <w:gridSpan w:val="3"/>
            <w:tcW w:w="4759" w:type="dxa"/>
            <w:tcBorders>
              <w:top w:val="single" w:sz="4"/>
              <w:bottom w:val="single" w:sz="4"/>
              <w:right w:val="nil"/>
            </w:tcBorders>
          </w:tcPr>
          <w:p>
            <w:pPr>
              <w:pStyle w:val="0"/>
              <w:jc w:val="center"/>
            </w:pPr>
            <w:r>
              <w:rPr>
                <w:sz w:val="20"/>
              </w:rPr>
              <w:t xml:space="preserve">Допустимая нагрузка на ось </w:t>
            </w:r>
            <w:hyperlink w:history="0" w:anchor="P480" w:tooltip="&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
              <w:r>
                <w:rPr>
                  <w:sz w:val="20"/>
                  <w:color w:val="0000ff"/>
                </w:rPr>
                <w:t xml:space="preserve">&lt;**&gt;</w:t>
              </w:r>
            </w:hyperlink>
            <w:r>
              <w:rPr>
                <w:sz w:val="20"/>
              </w:rPr>
              <w:t xml:space="preserve"> колесного транспортного средства, тонн</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586" w:type="dxa"/>
            <w:tcBorders>
              <w:top w:val="single" w:sz="4"/>
              <w:bottom w:val="single" w:sz="4"/>
            </w:tcBorders>
          </w:tcPr>
          <w:p>
            <w:pPr>
              <w:pStyle w:val="0"/>
              <w:jc w:val="center"/>
            </w:pPr>
            <w:r>
              <w:rPr>
                <w:sz w:val="20"/>
              </w:rPr>
              <w:t xml:space="preserve">для автомобильной дороги, рассчитанной на нормативную нагрузку 6 тонн на ось </w:t>
            </w:r>
            <w:hyperlink w:history="0" w:anchor="P481" w:tooltip="&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
              <w:r>
                <w:rPr>
                  <w:sz w:val="20"/>
                  <w:color w:val="0000ff"/>
                </w:rPr>
                <w:t xml:space="preserve">&lt;***&gt;</w:t>
              </w:r>
            </w:hyperlink>
          </w:p>
        </w:tc>
        <w:tc>
          <w:tcPr>
            <w:tcW w:w="1586" w:type="dxa"/>
            <w:tcBorders>
              <w:top w:val="single" w:sz="4"/>
              <w:bottom w:val="single" w:sz="4"/>
            </w:tcBorders>
          </w:tcPr>
          <w:p>
            <w:pPr>
              <w:pStyle w:val="0"/>
              <w:jc w:val="center"/>
            </w:pPr>
            <w:r>
              <w:rPr>
                <w:sz w:val="20"/>
              </w:rPr>
              <w:t xml:space="preserve">для автомобильной дороги, рассчитанной на нормативную нагрузку 10 тонн на ось</w:t>
            </w:r>
          </w:p>
        </w:tc>
        <w:tc>
          <w:tcPr>
            <w:tcW w:w="1587" w:type="dxa"/>
            <w:tcBorders>
              <w:top w:val="single" w:sz="4"/>
              <w:bottom w:val="single" w:sz="4"/>
              <w:right w:val="nil"/>
            </w:tcBorders>
          </w:tcPr>
          <w:p>
            <w:pPr>
              <w:pStyle w:val="0"/>
              <w:jc w:val="center"/>
            </w:pPr>
            <w:r>
              <w:rPr>
                <w:sz w:val="20"/>
              </w:rPr>
              <w:t xml:space="preserve">для автомобильной дороги, рассчитанной на нормативную нагрузку 11,5 тонны на ось</w:t>
            </w:r>
          </w:p>
        </w:tc>
      </w:tr>
      <w:tr>
        <w:tc>
          <w:tcPr>
            <w:tcW w:w="2267" w:type="dxa"/>
            <w:tcBorders>
              <w:top w:val="single" w:sz="4"/>
              <w:left w:val="nil"/>
              <w:bottom w:val="nil"/>
              <w:right w:val="nil"/>
            </w:tcBorders>
          </w:tcPr>
          <w:p>
            <w:pPr>
              <w:pStyle w:val="0"/>
            </w:pPr>
            <w:r>
              <w:rPr>
                <w:sz w:val="20"/>
              </w:rPr>
              <w:t xml:space="preserve">Одиночная ось</w:t>
            </w:r>
          </w:p>
        </w:tc>
        <w:tc>
          <w:tcPr>
            <w:tcW w:w="2041" w:type="dxa"/>
            <w:tcBorders>
              <w:top w:val="single" w:sz="4"/>
              <w:left w:val="nil"/>
              <w:bottom w:val="nil"/>
              <w:right w:val="nil"/>
            </w:tcBorders>
          </w:tcPr>
          <w:p>
            <w:pPr>
              <w:pStyle w:val="0"/>
            </w:pPr>
            <w:r>
              <w:rPr>
                <w:sz w:val="20"/>
              </w:rPr>
              <w:t xml:space="preserve">свыше 2,5</w:t>
            </w:r>
          </w:p>
        </w:tc>
        <w:tc>
          <w:tcPr>
            <w:tcW w:w="1586" w:type="dxa"/>
            <w:tcBorders>
              <w:top w:val="single" w:sz="4"/>
              <w:left w:val="nil"/>
              <w:bottom w:val="nil"/>
              <w:right w:val="nil"/>
            </w:tcBorders>
          </w:tcPr>
          <w:p>
            <w:pPr>
              <w:pStyle w:val="0"/>
              <w:jc w:val="center"/>
            </w:pPr>
            <w:r>
              <w:rPr>
                <w:sz w:val="20"/>
              </w:rPr>
              <w:t xml:space="preserve">5,5 (6)</w:t>
            </w:r>
          </w:p>
        </w:tc>
        <w:tc>
          <w:tcPr>
            <w:tcW w:w="1586" w:type="dxa"/>
            <w:tcBorders>
              <w:top w:val="single" w:sz="4"/>
              <w:left w:val="nil"/>
              <w:bottom w:val="nil"/>
              <w:right w:val="nil"/>
            </w:tcBorders>
          </w:tcPr>
          <w:p>
            <w:pPr>
              <w:pStyle w:val="0"/>
              <w:jc w:val="center"/>
            </w:pPr>
            <w:r>
              <w:rPr>
                <w:sz w:val="20"/>
              </w:rPr>
              <w:t xml:space="preserve">9 (10)</w:t>
            </w:r>
          </w:p>
        </w:tc>
        <w:tc>
          <w:tcPr>
            <w:tcW w:w="1587" w:type="dxa"/>
            <w:tcBorders>
              <w:top w:val="single" w:sz="4"/>
              <w:left w:val="nil"/>
              <w:bottom w:val="nil"/>
              <w:right w:val="nil"/>
            </w:tcBorders>
          </w:tcPr>
          <w:p>
            <w:pPr>
              <w:pStyle w:val="0"/>
              <w:jc w:val="center"/>
            </w:pPr>
            <w:r>
              <w:rPr>
                <w:sz w:val="20"/>
              </w:rPr>
              <w:t xml:space="preserve">10,5 (11,5)</w:t>
            </w:r>
          </w:p>
        </w:tc>
      </w:tr>
      <w:tr>
        <w:tc>
          <w:tcPr>
            <w:tcW w:w="2267" w:type="dxa"/>
            <w:tcBorders>
              <w:top w:val="nil"/>
              <w:left w:val="nil"/>
              <w:bottom w:val="nil"/>
              <w:right w:val="nil"/>
            </w:tcBorders>
            <w:vMerge w:val="restart"/>
          </w:tcPr>
          <w:p>
            <w:pPr>
              <w:pStyle w:val="0"/>
            </w:pPr>
            <w:r>
              <w:rPr>
                <w:sz w:val="20"/>
              </w:rPr>
              <w:t xml:space="preserve">Группа сближенных сдвоенных осей</w:t>
            </w:r>
          </w:p>
        </w:tc>
        <w:tc>
          <w:tcPr>
            <w:tcW w:w="2041" w:type="dxa"/>
            <w:tcBorders>
              <w:top w:val="nil"/>
              <w:left w:val="nil"/>
              <w:bottom w:val="nil"/>
              <w:right w:val="nil"/>
            </w:tcBorders>
          </w:tcPr>
          <w:p>
            <w:pPr>
              <w:pStyle w:val="0"/>
            </w:pPr>
            <w:r>
              <w:rPr>
                <w:sz w:val="20"/>
              </w:rPr>
              <w:t xml:space="preserve">до 1 (включительно)</w:t>
            </w:r>
          </w:p>
        </w:tc>
        <w:tc>
          <w:tcPr>
            <w:tcW w:w="1586" w:type="dxa"/>
            <w:tcBorders>
              <w:top w:val="nil"/>
              <w:left w:val="nil"/>
              <w:bottom w:val="nil"/>
              <w:right w:val="nil"/>
            </w:tcBorders>
          </w:tcPr>
          <w:p>
            <w:pPr>
              <w:pStyle w:val="0"/>
              <w:jc w:val="center"/>
            </w:pPr>
            <w:r>
              <w:rPr>
                <w:sz w:val="20"/>
              </w:rPr>
              <w:t xml:space="preserve">8 (9)</w:t>
            </w:r>
          </w:p>
        </w:tc>
        <w:tc>
          <w:tcPr>
            <w:tcW w:w="1586" w:type="dxa"/>
            <w:tcBorders>
              <w:top w:val="nil"/>
              <w:left w:val="nil"/>
              <w:bottom w:val="nil"/>
              <w:right w:val="nil"/>
            </w:tcBorders>
          </w:tcPr>
          <w:p>
            <w:pPr>
              <w:pStyle w:val="0"/>
              <w:jc w:val="center"/>
            </w:pPr>
            <w:r>
              <w:rPr>
                <w:sz w:val="20"/>
              </w:rPr>
              <w:t xml:space="preserve">10 (11)</w:t>
            </w:r>
          </w:p>
        </w:tc>
        <w:tc>
          <w:tcPr>
            <w:tcW w:w="1587" w:type="dxa"/>
            <w:tcBorders>
              <w:top w:val="nil"/>
              <w:left w:val="nil"/>
              <w:bottom w:val="nil"/>
              <w:right w:val="nil"/>
            </w:tcBorders>
          </w:tcPr>
          <w:p>
            <w:pPr>
              <w:pStyle w:val="0"/>
              <w:jc w:val="center"/>
            </w:pPr>
            <w:r>
              <w:rPr>
                <w:sz w:val="20"/>
              </w:rPr>
              <w:t xml:space="preserve">11,5 (12,5)</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 до 1,3 (включительно)</w:t>
            </w:r>
          </w:p>
        </w:tc>
        <w:tc>
          <w:tcPr>
            <w:tcW w:w="1586" w:type="dxa"/>
            <w:tcBorders>
              <w:top w:val="nil"/>
              <w:left w:val="nil"/>
              <w:bottom w:val="nil"/>
              <w:right w:val="nil"/>
            </w:tcBorders>
          </w:tcPr>
          <w:p>
            <w:pPr>
              <w:pStyle w:val="0"/>
              <w:jc w:val="center"/>
            </w:pPr>
            <w:r>
              <w:rPr>
                <w:sz w:val="20"/>
              </w:rPr>
              <w:t xml:space="preserve">9 (10)</w:t>
            </w:r>
          </w:p>
        </w:tc>
        <w:tc>
          <w:tcPr>
            <w:tcW w:w="1586" w:type="dxa"/>
            <w:tcBorders>
              <w:top w:val="nil"/>
              <w:left w:val="nil"/>
              <w:bottom w:val="nil"/>
              <w:right w:val="nil"/>
            </w:tcBorders>
          </w:tcPr>
          <w:p>
            <w:pPr>
              <w:pStyle w:val="0"/>
              <w:jc w:val="center"/>
            </w:pPr>
            <w:r>
              <w:rPr>
                <w:sz w:val="20"/>
              </w:rPr>
              <w:t xml:space="preserve">13 (14)</w:t>
            </w:r>
          </w:p>
        </w:tc>
        <w:tc>
          <w:tcPr>
            <w:tcW w:w="1587" w:type="dxa"/>
            <w:tcBorders>
              <w:top w:val="nil"/>
              <w:left w:val="nil"/>
              <w:bottom w:val="nil"/>
              <w:right w:val="nil"/>
            </w:tcBorders>
          </w:tcPr>
          <w:p>
            <w:pPr>
              <w:pStyle w:val="0"/>
              <w:jc w:val="center"/>
            </w:pPr>
            <w:r>
              <w:rPr>
                <w:sz w:val="20"/>
              </w:rPr>
              <w:t xml:space="preserve">14 (16)</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1,3 до 1,8 (включительно)</w:t>
            </w:r>
          </w:p>
        </w:tc>
        <w:tc>
          <w:tcPr>
            <w:tcW w:w="1586" w:type="dxa"/>
            <w:tcBorders>
              <w:top w:val="nil"/>
              <w:left w:val="nil"/>
              <w:bottom w:val="nil"/>
              <w:right w:val="nil"/>
            </w:tcBorders>
          </w:tcPr>
          <w:p>
            <w:pPr>
              <w:pStyle w:val="0"/>
              <w:jc w:val="center"/>
            </w:pPr>
            <w:r>
              <w:rPr>
                <w:sz w:val="20"/>
              </w:rPr>
              <w:t xml:space="preserve">10 (11)</w:t>
            </w:r>
          </w:p>
        </w:tc>
        <w:tc>
          <w:tcPr>
            <w:tcW w:w="1586" w:type="dxa"/>
            <w:tcBorders>
              <w:top w:val="nil"/>
              <w:left w:val="nil"/>
              <w:bottom w:val="nil"/>
              <w:right w:val="nil"/>
            </w:tcBorders>
          </w:tcPr>
          <w:p>
            <w:pPr>
              <w:pStyle w:val="0"/>
              <w:jc w:val="center"/>
            </w:pPr>
            <w:r>
              <w:rPr>
                <w:sz w:val="20"/>
              </w:rPr>
              <w:t xml:space="preserve">15 (16)</w:t>
            </w:r>
          </w:p>
        </w:tc>
        <w:tc>
          <w:tcPr>
            <w:tcW w:w="1587" w:type="dxa"/>
            <w:tcBorders>
              <w:top w:val="nil"/>
              <w:left w:val="nil"/>
              <w:bottom w:val="nil"/>
              <w:right w:val="nil"/>
            </w:tcBorders>
          </w:tcPr>
          <w:p>
            <w:pPr>
              <w:pStyle w:val="0"/>
              <w:jc w:val="center"/>
            </w:pPr>
            <w:r>
              <w:rPr>
                <w:sz w:val="20"/>
              </w:rPr>
              <w:t xml:space="preserve">17 (18)</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1,8 до 2,5 (включительно)</w:t>
            </w:r>
          </w:p>
        </w:tc>
        <w:tc>
          <w:tcPr>
            <w:tcW w:w="1586" w:type="dxa"/>
            <w:tcBorders>
              <w:top w:val="nil"/>
              <w:left w:val="nil"/>
              <w:bottom w:val="nil"/>
              <w:right w:val="nil"/>
            </w:tcBorders>
          </w:tcPr>
          <w:p>
            <w:pPr>
              <w:pStyle w:val="0"/>
              <w:jc w:val="center"/>
            </w:pPr>
            <w:r>
              <w:rPr>
                <w:sz w:val="20"/>
              </w:rPr>
              <w:t xml:space="preserve">11 (12)</w:t>
            </w:r>
          </w:p>
        </w:tc>
        <w:tc>
          <w:tcPr>
            <w:tcW w:w="1586" w:type="dxa"/>
            <w:tcBorders>
              <w:top w:val="nil"/>
              <w:left w:val="nil"/>
              <w:bottom w:val="nil"/>
              <w:right w:val="nil"/>
            </w:tcBorders>
          </w:tcPr>
          <w:p>
            <w:pPr>
              <w:pStyle w:val="0"/>
              <w:jc w:val="center"/>
            </w:pPr>
            <w:r>
              <w:rPr>
                <w:sz w:val="20"/>
              </w:rPr>
              <w:t xml:space="preserve">17 (18)</w:t>
            </w:r>
          </w:p>
        </w:tc>
        <w:tc>
          <w:tcPr>
            <w:tcW w:w="1587" w:type="dxa"/>
            <w:tcBorders>
              <w:top w:val="nil"/>
              <w:left w:val="nil"/>
              <w:bottom w:val="nil"/>
              <w:right w:val="nil"/>
            </w:tcBorders>
          </w:tcPr>
          <w:p>
            <w:pPr>
              <w:pStyle w:val="0"/>
              <w:jc w:val="center"/>
            </w:pPr>
            <w:r>
              <w:rPr>
                <w:sz w:val="20"/>
              </w:rPr>
              <w:t xml:space="preserve">18 (20)</w:t>
            </w:r>
          </w:p>
        </w:tc>
      </w:tr>
      <w:tr>
        <w:tc>
          <w:tcPr>
            <w:tcW w:w="2267" w:type="dxa"/>
            <w:tcBorders>
              <w:top w:val="nil"/>
              <w:left w:val="nil"/>
              <w:bottom w:val="nil"/>
              <w:right w:val="nil"/>
            </w:tcBorders>
            <w:vMerge w:val="restart"/>
          </w:tcPr>
          <w:p>
            <w:pPr>
              <w:pStyle w:val="0"/>
            </w:pPr>
            <w:r>
              <w:rPr>
                <w:sz w:val="20"/>
              </w:rPr>
              <w:t xml:space="preserve">Группа сближенных строенных осей</w:t>
            </w:r>
          </w:p>
        </w:tc>
        <w:tc>
          <w:tcPr>
            <w:tcW w:w="2041" w:type="dxa"/>
            <w:tcBorders>
              <w:top w:val="nil"/>
              <w:left w:val="nil"/>
              <w:bottom w:val="nil"/>
              <w:right w:val="nil"/>
            </w:tcBorders>
          </w:tcPr>
          <w:p>
            <w:pPr>
              <w:pStyle w:val="0"/>
            </w:pPr>
            <w:r>
              <w:rPr>
                <w:sz w:val="20"/>
              </w:rPr>
              <w:t xml:space="preserve">до 1 (включительно)</w:t>
            </w:r>
          </w:p>
        </w:tc>
        <w:tc>
          <w:tcPr>
            <w:tcW w:w="1586" w:type="dxa"/>
            <w:tcBorders>
              <w:top w:val="nil"/>
              <w:left w:val="nil"/>
              <w:bottom w:val="nil"/>
              <w:right w:val="nil"/>
            </w:tcBorders>
          </w:tcPr>
          <w:p>
            <w:pPr>
              <w:pStyle w:val="0"/>
              <w:jc w:val="center"/>
            </w:pPr>
            <w:r>
              <w:rPr>
                <w:sz w:val="20"/>
              </w:rPr>
              <w:t xml:space="preserve">11 (12)</w:t>
            </w:r>
          </w:p>
        </w:tc>
        <w:tc>
          <w:tcPr>
            <w:tcW w:w="1586" w:type="dxa"/>
            <w:tcBorders>
              <w:top w:val="nil"/>
              <w:left w:val="nil"/>
              <w:bottom w:val="nil"/>
              <w:right w:val="nil"/>
            </w:tcBorders>
          </w:tcPr>
          <w:p>
            <w:pPr>
              <w:pStyle w:val="0"/>
              <w:jc w:val="center"/>
            </w:pPr>
            <w:r>
              <w:rPr>
                <w:sz w:val="20"/>
              </w:rPr>
              <w:t xml:space="preserve">15 (16,5)</w:t>
            </w:r>
          </w:p>
        </w:tc>
        <w:tc>
          <w:tcPr>
            <w:tcW w:w="1587" w:type="dxa"/>
            <w:tcBorders>
              <w:top w:val="nil"/>
              <w:left w:val="nil"/>
              <w:bottom w:val="nil"/>
              <w:right w:val="nil"/>
            </w:tcBorders>
          </w:tcPr>
          <w:p>
            <w:pPr>
              <w:pStyle w:val="0"/>
              <w:jc w:val="center"/>
            </w:pPr>
            <w:r>
              <w:rPr>
                <w:sz w:val="20"/>
              </w:rPr>
              <w:t xml:space="preserve">17 (18)</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 до 1,3 (включительно)</w:t>
            </w:r>
          </w:p>
        </w:tc>
        <w:tc>
          <w:tcPr>
            <w:tcW w:w="1586" w:type="dxa"/>
            <w:tcBorders>
              <w:top w:val="nil"/>
              <w:left w:val="nil"/>
              <w:bottom w:val="nil"/>
              <w:right w:val="nil"/>
            </w:tcBorders>
          </w:tcPr>
          <w:p>
            <w:pPr>
              <w:pStyle w:val="0"/>
              <w:jc w:val="center"/>
            </w:pPr>
            <w:r>
              <w:rPr>
                <w:sz w:val="20"/>
              </w:rPr>
              <w:t xml:space="preserve">12 (13)</w:t>
            </w:r>
          </w:p>
        </w:tc>
        <w:tc>
          <w:tcPr>
            <w:tcW w:w="1586" w:type="dxa"/>
            <w:tcBorders>
              <w:top w:val="nil"/>
              <w:left w:val="nil"/>
              <w:bottom w:val="nil"/>
              <w:right w:val="nil"/>
            </w:tcBorders>
          </w:tcPr>
          <w:p>
            <w:pPr>
              <w:pStyle w:val="0"/>
              <w:jc w:val="center"/>
            </w:pPr>
            <w:r>
              <w:rPr>
                <w:sz w:val="20"/>
              </w:rPr>
              <w:t xml:space="preserve">18 (19,5)</w:t>
            </w:r>
          </w:p>
        </w:tc>
        <w:tc>
          <w:tcPr>
            <w:tcW w:w="1587" w:type="dxa"/>
            <w:tcBorders>
              <w:top w:val="nil"/>
              <w:left w:val="nil"/>
              <w:bottom w:val="nil"/>
              <w:right w:val="nil"/>
            </w:tcBorders>
          </w:tcPr>
          <w:p>
            <w:pPr>
              <w:pStyle w:val="0"/>
              <w:jc w:val="center"/>
            </w:pPr>
            <w:r>
              <w:rPr>
                <w:sz w:val="20"/>
              </w:rPr>
              <w:t xml:space="preserve">20 (21)</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1,3 до 1,8 (включительно)</w:t>
            </w:r>
          </w:p>
        </w:tc>
        <w:tc>
          <w:tcPr>
            <w:tcW w:w="1586" w:type="dxa"/>
            <w:tcBorders>
              <w:top w:val="nil"/>
              <w:left w:val="nil"/>
              <w:bottom w:val="nil"/>
              <w:right w:val="nil"/>
            </w:tcBorders>
          </w:tcPr>
          <w:p>
            <w:pPr>
              <w:pStyle w:val="0"/>
              <w:jc w:val="center"/>
            </w:pPr>
            <w:r>
              <w:rPr>
                <w:sz w:val="20"/>
              </w:rPr>
              <w:t xml:space="preserve">13,5 (15)</w:t>
            </w:r>
          </w:p>
        </w:tc>
        <w:tc>
          <w:tcPr>
            <w:tcW w:w="1586" w:type="dxa"/>
            <w:tcBorders>
              <w:top w:val="nil"/>
              <w:left w:val="nil"/>
              <w:bottom w:val="nil"/>
              <w:right w:val="nil"/>
            </w:tcBorders>
          </w:tcPr>
          <w:p>
            <w:pPr>
              <w:pStyle w:val="0"/>
              <w:jc w:val="center"/>
            </w:pPr>
            <w:r>
              <w:rPr>
                <w:sz w:val="20"/>
              </w:rPr>
              <w:t xml:space="preserve">21 (22,5 </w:t>
            </w:r>
            <w:hyperlink w:history="0" w:anchor="P482" w:tooltip="&lt;****&gt; В том числе для транспортных средств, имеющих группы сближенных осей с односкатными колесами, оборудованными пневматической или эквивалентной ей подвеской.">
              <w:r>
                <w:rPr>
                  <w:sz w:val="20"/>
                  <w:color w:val="0000ff"/>
                </w:rPr>
                <w:t xml:space="preserve">&lt;****&gt;</w:t>
              </w:r>
            </w:hyperlink>
            <w:r>
              <w:rPr>
                <w:sz w:val="20"/>
              </w:rPr>
              <w:t xml:space="preserve">)</w:t>
            </w:r>
          </w:p>
        </w:tc>
        <w:tc>
          <w:tcPr>
            <w:tcW w:w="1587" w:type="dxa"/>
            <w:tcBorders>
              <w:top w:val="nil"/>
              <w:left w:val="nil"/>
              <w:bottom w:val="nil"/>
              <w:right w:val="nil"/>
            </w:tcBorders>
          </w:tcPr>
          <w:p>
            <w:pPr>
              <w:pStyle w:val="0"/>
              <w:jc w:val="center"/>
            </w:pPr>
            <w:r>
              <w:rPr>
                <w:sz w:val="20"/>
              </w:rPr>
              <w:t xml:space="preserve">23,5 (24)</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1,8 до 2,5 (включительно)</w:t>
            </w:r>
          </w:p>
        </w:tc>
        <w:tc>
          <w:tcPr>
            <w:tcW w:w="1586" w:type="dxa"/>
            <w:tcBorders>
              <w:top w:val="nil"/>
              <w:left w:val="nil"/>
              <w:bottom w:val="nil"/>
              <w:right w:val="nil"/>
            </w:tcBorders>
          </w:tcPr>
          <w:p>
            <w:pPr>
              <w:pStyle w:val="0"/>
              <w:jc w:val="center"/>
            </w:pPr>
            <w:r>
              <w:rPr>
                <w:sz w:val="20"/>
              </w:rPr>
              <w:t xml:space="preserve">15 (16)</w:t>
            </w:r>
          </w:p>
        </w:tc>
        <w:tc>
          <w:tcPr>
            <w:tcW w:w="1586" w:type="dxa"/>
            <w:tcBorders>
              <w:top w:val="nil"/>
              <w:left w:val="nil"/>
              <w:bottom w:val="nil"/>
              <w:right w:val="nil"/>
            </w:tcBorders>
          </w:tcPr>
          <w:p>
            <w:pPr>
              <w:pStyle w:val="0"/>
              <w:jc w:val="center"/>
            </w:pPr>
            <w:r>
              <w:rPr>
                <w:sz w:val="20"/>
              </w:rPr>
              <w:t xml:space="preserve">22 (23)</w:t>
            </w:r>
          </w:p>
        </w:tc>
        <w:tc>
          <w:tcPr>
            <w:tcW w:w="1587" w:type="dxa"/>
            <w:tcBorders>
              <w:top w:val="nil"/>
              <w:left w:val="nil"/>
              <w:bottom w:val="nil"/>
              <w:right w:val="nil"/>
            </w:tcBorders>
          </w:tcPr>
          <w:p>
            <w:pPr>
              <w:pStyle w:val="0"/>
              <w:jc w:val="center"/>
            </w:pPr>
            <w:r>
              <w:rPr>
                <w:sz w:val="20"/>
              </w:rPr>
              <w:t xml:space="preserve">25 (26)</w:t>
            </w:r>
          </w:p>
        </w:tc>
      </w:tr>
      <w:tr>
        <w:tc>
          <w:tcPr>
            <w:tcW w:w="2267" w:type="dxa"/>
            <w:tcBorders>
              <w:top w:val="nil"/>
              <w:left w:val="nil"/>
              <w:bottom w:val="nil"/>
              <w:right w:val="nil"/>
            </w:tcBorders>
            <w:vMerge w:val="restart"/>
          </w:tcPr>
          <w:p>
            <w:pPr>
              <w:pStyle w:val="0"/>
            </w:pPr>
            <w:r>
              <w:rPr>
                <w:sz w:val="20"/>
              </w:rPr>
              <w:t xml:space="preserve">Группа сближенных осей с количеством осей более 3 (не более 2 односкатных или двускатных колеса на оси)</w:t>
            </w:r>
          </w:p>
        </w:tc>
        <w:tc>
          <w:tcPr>
            <w:tcW w:w="2041" w:type="dxa"/>
            <w:tcBorders>
              <w:top w:val="nil"/>
              <w:left w:val="nil"/>
              <w:bottom w:val="nil"/>
              <w:right w:val="nil"/>
            </w:tcBorders>
          </w:tcPr>
          <w:p>
            <w:pPr>
              <w:pStyle w:val="0"/>
            </w:pPr>
            <w:r>
              <w:rPr>
                <w:sz w:val="20"/>
              </w:rPr>
              <w:t xml:space="preserve">до 1 (включительно)</w:t>
            </w:r>
          </w:p>
        </w:tc>
        <w:tc>
          <w:tcPr>
            <w:tcW w:w="1586" w:type="dxa"/>
            <w:tcBorders>
              <w:top w:val="nil"/>
              <w:left w:val="nil"/>
              <w:bottom w:val="nil"/>
              <w:right w:val="nil"/>
            </w:tcBorders>
          </w:tcPr>
          <w:p>
            <w:pPr>
              <w:pStyle w:val="0"/>
              <w:jc w:val="center"/>
            </w:pPr>
            <w:r>
              <w:rPr>
                <w:sz w:val="20"/>
              </w:rPr>
              <w:t xml:space="preserve">3,5 (4)</w:t>
            </w:r>
          </w:p>
        </w:tc>
        <w:tc>
          <w:tcPr>
            <w:tcW w:w="1586" w:type="dxa"/>
            <w:tcBorders>
              <w:top w:val="nil"/>
              <w:left w:val="nil"/>
              <w:bottom w:val="nil"/>
              <w:right w:val="nil"/>
            </w:tcBorders>
          </w:tcPr>
          <w:p>
            <w:pPr>
              <w:pStyle w:val="0"/>
              <w:jc w:val="center"/>
            </w:pPr>
            <w:r>
              <w:rPr>
                <w:sz w:val="20"/>
              </w:rPr>
              <w:t xml:space="preserve">5 (5,5)</w:t>
            </w:r>
          </w:p>
        </w:tc>
        <w:tc>
          <w:tcPr>
            <w:tcW w:w="1587" w:type="dxa"/>
            <w:tcBorders>
              <w:top w:val="nil"/>
              <w:left w:val="nil"/>
              <w:bottom w:val="nil"/>
              <w:right w:val="nil"/>
            </w:tcBorders>
          </w:tcPr>
          <w:p>
            <w:pPr>
              <w:pStyle w:val="0"/>
              <w:jc w:val="center"/>
            </w:pPr>
            <w:r>
              <w:rPr>
                <w:sz w:val="20"/>
              </w:rPr>
              <w:t xml:space="preserve">5,5 (6)</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 до 1,3 (включительно)</w:t>
            </w:r>
          </w:p>
        </w:tc>
        <w:tc>
          <w:tcPr>
            <w:tcW w:w="1586" w:type="dxa"/>
            <w:tcBorders>
              <w:top w:val="nil"/>
              <w:left w:val="nil"/>
              <w:bottom w:val="nil"/>
              <w:right w:val="nil"/>
            </w:tcBorders>
          </w:tcPr>
          <w:p>
            <w:pPr>
              <w:pStyle w:val="0"/>
              <w:jc w:val="center"/>
            </w:pPr>
            <w:r>
              <w:rPr>
                <w:sz w:val="20"/>
              </w:rPr>
              <w:t xml:space="preserve">4 (4,5)</w:t>
            </w:r>
          </w:p>
        </w:tc>
        <w:tc>
          <w:tcPr>
            <w:tcW w:w="1586" w:type="dxa"/>
            <w:tcBorders>
              <w:top w:val="nil"/>
              <w:left w:val="nil"/>
              <w:bottom w:val="nil"/>
              <w:right w:val="nil"/>
            </w:tcBorders>
          </w:tcPr>
          <w:p>
            <w:pPr>
              <w:pStyle w:val="0"/>
              <w:jc w:val="center"/>
            </w:pPr>
            <w:r>
              <w:rPr>
                <w:sz w:val="20"/>
              </w:rPr>
              <w:t xml:space="preserve">6 (6,5)</w:t>
            </w:r>
          </w:p>
        </w:tc>
        <w:tc>
          <w:tcPr>
            <w:tcW w:w="1587" w:type="dxa"/>
            <w:tcBorders>
              <w:top w:val="nil"/>
              <w:left w:val="nil"/>
              <w:bottom w:val="nil"/>
              <w:right w:val="nil"/>
            </w:tcBorders>
          </w:tcPr>
          <w:p>
            <w:pPr>
              <w:pStyle w:val="0"/>
              <w:jc w:val="center"/>
            </w:pPr>
            <w:r>
              <w:rPr>
                <w:sz w:val="20"/>
              </w:rPr>
              <w:t xml:space="preserve">6,5 (7)</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1,3 до 1,8 (включительно)</w:t>
            </w:r>
          </w:p>
        </w:tc>
        <w:tc>
          <w:tcPr>
            <w:tcW w:w="1586" w:type="dxa"/>
            <w:tcBorders>
              <w:top w:val="nil"/>
              <w:left w:val="nil"/>
              <w:bottom w:val="nil"/>
              <w:right w:val="nil"/>
            </w:tcBorders>
          </w:tcPr>
          <w:p>
            <w:pPr>
              <w:pStyle w:val="0"/>
              <w:jc w:val="center"/>
            </w:pPr>
            <w:r>
              <w:rPr>
                <w:sz w:val="20"/>
              </w:rPr>
              <w:t xml:space="preserve">4,5 (5)</w:t>
            </w:r>
          </w:p>
        </w:tc>
        <w:tc>
          <w:tcPr>
            <w:tcW w:w="1586" w:type="dxa"/>
            <w:tcBorders>
              <w:top w:val="nil"/>
              <w:left w:val="nil"/>
              <w:bottom w:val="nil"/>
              <w:right w:val="nil"/>
            </w:tcBorders>
          </w:tcPr>
          <w:p>
            <w:pPr>
              <w:pStyle w:val="0"/>
              <w:jc w:val="center"/>
            </w:pPr>
            <w:r>
              <w:rPr>
                <w:sz w:val="20"/>
              </w:rPr>
              <w:t xml:space="preserve">6,5 (7)</w:t>
            </w:r>
          </w:p>
        </w:tc>
        <w:tc>
          <w:tcPr>
            <w:tcW w:w="1587" w:type="dxa"/>
            <w:tcBorders>
              <w:top w:val="nil"/>
              <w:left w:val="nil"/>
              <w:bottom w:val="nil"/>
              <w:right w:val="nil"/>
            </w:tcBorders>
          </w:tcPr>
          <w:p>
            <w:pPr>
              <w:pStyle w:val="0"/>
              <w:jc w:val="center"/>
            </w:pPr>
            <w:r>
              <w:rPr>
                <w:sz w:val="20"/>
              </w:rPr>
              <w:t xml:space="preserve">7,5 (8)</w:t>
            </w:r>
          </w:p>
        </w:tc>
      </w:tr>
      <w:tr>
        <w:tc>
          <w:tcPr>
            <w:tcBorders>
              <w:top w:val="nil"/>
              <w:left w:val="nil"/>
              <w:bottom w:val="nil"/>
              <w:right w:val="nil"/>
            </w:tcBorders>
            <w:vMerge w:val="continue"/>
          </w:tcPr>
          <w:p/>
        </w:tc>
        <w:tc>
          <w:tcPr>
            <w:tcW w:w="2041" w:type="dxa"/>
            <w:tcBorders>
              <w:top w:val="nil"/>
              <w:left w:val="nil"/>
              <w:bottom w:val="nil"/>
              <w:right w:val="nil"/>
            </w:tcBorders>
          </w:tcPr>
          <w:p>
            <w:pPr>
              <w:pStyle w:val="0"/>
            </w:pPr>
            <w:r>
              <w:rPr>
                <w:sz w:val="20"/>
              </w:rPr>
              <w:t xml:space="preserve">свыше 1,8 до 2,5 (включительно)</w:t>
            </w:r>
          </w:p>
        </w:tc>
        <w:tc>
          <w:tcPr>
            <w:tcW w:w="1586" w:type="dxa"/>
            <w:tcBorders>
              <w:top w:val="nil"/>
              <w:left w:val="nil"/>
              <w:bottom w:val="nil"/>
              <w:right w:val="nil"/>
            </w:tcBorders>
          </w:tcPr>
          <w:p>
            <w:pPr>
              <w:pStyle w:val="0"/>
              <w:jc w:val="center"/>
            </w:pPr>
            <w:r>
              <w:rPr>
                <w:sz w:val="20"/>
              </w:rPr>
              <w:t xml:space="preserve">5 (5,5)</w:t>
            </w:r>
          </w:p>
        </w:tc>
        <w:tc>
          <w:tcPr>
            <w:tcW w:w="1586" w:type="dxa"/>
            <w:tcBorders>
              <w:top w:val="nil"/>
              <w:left w:val="nil"/>
              <w:bottom w:val="nil"/>
              <w:right w:val="nil"/>
            </w:tcBorders>
          </w:tcPr>
          <w:p>
            <w:pPr>
              <w:pStyle w:val="0"/>
              <w:jc w:val="center"/>
            </w:pPr>
            <w:r>
              <w:rPr>
                <w:sz w:val="20"/>
              </w:rPr>
              <w:t xml:space="preserve">7 (7,5)</w:t>
            </w:r>
          </w:p>
        </w:tc>
        <w:tc>
          <w:tcPr>
            <w:tcW w:w="1587" w:type="dxa"/>
            <w:tcBorders>
              <w:top w:val="nil"/>
              <w:left w:val="nil"/>
              <w:bottom w:val="nil"/>
              <w:right w:val="nil"/>
            </w:tcBorders>
          </w:tcPr>
          <w:p>
            <w:pPr>
              <w:pStyle w:val="0"/>
              <w:jc w:val="center"/>
            </w:pPr>
            <w:r>
              <w:rPr>
                <w:sz w:val="20"/>
              </w:rPr>
              <w:t xml:space="preserve">8,5 (9)</w:t>
            </w:r>
          </w:p>
        </w:tc>
      </w:tr>
      <w:tr>
        <w:tc>
          <w:tcPr>
            <w:tcW w:w="2267" w:type="dxa"/>
            <w:tcBorders>
              <w:top w:val="nil"/>
              <w:left w:val="nil"/>
              <w:bottom w:val="single" w:sz="4"/>
              <w:right w:val="nil"/>
            </w:tcBorders>
            <w:vMerge w:val="restart"/>
          </w:tcPr>
          <w:p>
            <w:pPr>
              <w:pStyle w:val="0"/>
            </w:pPr>
            <w:r>
              <w:rPr>
                <w:sz w:val="20"/>
              </w:rPr>
              <w:t xml:space="preserve">Группа сближенных осей с количеством осей 2 и более (по 4 (включительно) и более односкатных или двускатных колеса на оси)</w:t>
            </w:r>
          </w:p>
        </w:tc>
        <w:tc>
          <w:tcPr>
            <w:tcW w:w="2041" w:type="dxa"/>
            <w:tcBorders>
              <w:top w:val="nil"/>
              <w:left w:val="nil"/>
              <w:bottom w:val="nil"/>
              <w:right w:val="nil"/>
            </w:tcBorders>
          </w:tcPr>
          <w:p>
            <w:pPr>
              <w:pStyle w:val="0"/>
            </w:pPr>
            <w:r>
              <w:rPr>
                <w:sz w:val="20"/>
              </w:rPr>
              <w:t xml:space="preserve">до 1 (включительно)</w:t>
            </w:r>
          </w:p>
        </w:tc>
        <w:tc>
          <w:tcPr>
            <w:tcW w:w="1586" w:type="dxa"/>
            <w:tcBorders>
              <w:top w:val="nil"/>
              <w:left w:val="nil"/>
              <w:bottom w:val="nil"/>
              <w:right w:val="nil"/>
            </w:tcBorders>
          </w:tcPr>
          <w:p>
            <w:pPr>
              <w:pStyle w:val="0"/>
              <w:jc w:val="center"/>
            </w:pPr>
            <w:r>
              <w:rPr>
                <w:sz w:val="20"/>
              </w:rPr>
              <w:t xml:space="preserve">6</w:t>
            </w:r>
          </w:p>
        </w:tc>
        <w:tc>
          <w:tcPr>
            <w:tcW w:w="1586" w:type="dxa"/>
            <w:tcBorders>
              <w:top w:val="nil"/>
              <w:left w:val="nil"/>
              <w:bottom w:val="nil"/>
              <w:right w:val="nil"/>
            </w:tcBorders>
          </w:tcPr>
          <w:p>
            <w:pPr>
              <w:pStyle w:val="0"/>
              <w:jc w:val="center"/>
            </w:pPr>
            <w:r>
              <w:rPr>
                <w:sz w:val="20"/>
              </w:rPr>
              <w:t xml:space="preserve">9,5</w:t>
            </w:r>
          </w:p>
        </w:tc>
        <w:tc>
          <w:tcPr>
            <w:tcW w:w="1587" w:type="dxa"/>
            <w:tcBorders>
              <w:top w:val="nil"/>
              <w:left w:val="nil"/>
              <w:bottom w:val="nil"/>
              <w:right w:val="nil"/>
            </w:tcBorders>
          </w:tcPr>
          <w:p>
            <w:pPr>
              <w:pStyle w:val="0"/>
              <w:jc w:val="center"/>
            </w:pPr>
            <w:r>
              <w:rPr>
                <w:sz w:val="20"/>
              </w:rPr>
              <w:t xml:space="preserve">11</w:t>
            </w:r>
          </w:p>
        </w:tc>
      </w:tr>
      <w:tr>
        <w:tc>
          <w:tcPr>
            <w:tcBorders>
              <w:top w:val="nil"/>
              <w:left w:val="nil"/>
              <w:bottom w:val="single" w:sz="4"/>
              <w:right w:val="nil"/>
            </w:tcBorders>
            <w:vMerge w:val="continue"/>
          </w:tcPr>
          <w:p/>
        </w:tc>
        <w:tc>
          <w:tcPr>
            <w:tcW w:w="2041" w:type="dxa"/>
            <w:tcBorders>
              <w:top w:val="nil"/>
              <w:left w:val="nil"/>
              <w:bottom w:val="nil"/>
              <w:right w:val="nil"/>
            </w:tcBorders>
          </w:tcPr>
          <w:p>
            <w:pPr>
              <w:pStyle w:val="0"/>
            </w:pPr>
            <w:r>
              <w:rPr>
                <w:sz w:val="20"/>
              </w:rPr>
              <w:t xml:space="preserve">свыше 1 до 1,3 (включительно)</w:t>
            </w:r>
          </w:p>
        </w:tc>
        <w:tc>
          <w:tcPr>
            <w:tcW w:w="1586" w:type="dxa"/>
            <w:tcBorders>
              <w:top w:val="nil"/>
              <w:left w:val="nil"/>
              <w:bottom w:val="nil"/>
              <w:right w:val="nil"/>
            </w:tcBorders>
          </w:tcPr>
          <w:p>
            <w:pPr>
              <w:pStyle w:val="0"/>
              <w:jc w:val="center"/>
            </w:pPr>
            <w:r>
              <w:rPr>
                <w:sz w:val="20"/>
              </w:rPr>
              <w:t xml:space="preserve">6,5</w:t>
            </w:r>
          </w:p>
        </w:tc>
        <w:tc>
          <w:tcPr>
            <w:tcW w:w="1586" w:type="dxa"/>
            <w:tcBorders>
              <w:top w:val="nil"/>
              <w:left w:val="nil"/>
              <w:bottom w:val="nil"/>
              <w:right w:val="nil"/>
            </w:tcBorders>
          </w:tcPr>
          <w:p>
            <w:pPr>
              <w:pStyle w:val="0"/>
              <w:jc w:val="center"/>
            </w:pPr>
            <w:r>
              <w:rPr>
                <w:sz w:val="20"/>
              </w:rPr>
              <w:t xml:space="preserve">10,5</w:t>
            </w:r>
          </w:p>
        </w:tc>
        <w:tc>
          <w:tcPr>
            <w:tcW w:w="1587" w:type="dxa"/>
            <w:tcBorders>
              <w:top w:val="nil"/>
              <w:left w:val="nil"/>
              <w:bottom w:val="nil"/>
              <w:right w:val="nil"/>
            </w:tcBorders>
          </w:tcPr>
          <w:p>
            <w:pPr>
              <w:pStyle w:val="0"/>
              <w:jc w:val="center"/>
            </w:pPr>
            <w:r>
              <w:rPr>
                <w:sz w:val="20"/>
              </w:rPr>
              <w:t xml:space="preserve">12</w:t>
            </w:r>
          </w:p>
        </w:tc>
      </w:tr>
      <w:tr>
        <w:tc>
          <w:tcPr>
            <w:tcBorders>
              <w:top w:val="nil"/>
              <w:left w:val="nil"/>
              <w:bottom w:val="single" w:sz="4"/>
              <w:right w:val="nil"/>
            </w:tcBorders>
            <w:vMerge w:val="continue"/>
          </w:tcPr>
          <w:p/>
        </w:tc>
        <w:tc>
          <w:tcPr>
            <w:tcW w:w="2041" w:type="dxa"/>
            <w:tcBorders>
              <w:top w:val="nil"/>
              <w:left w:val="nil"/>
              <w:bottom w:val="nil"/>
              <w:right w:val="nil"/>
            </w:tcBorders>
          </w:tcPr>
          <w:p>
            <w:pPr>
              <w:pStyle w:val="0"/>
            </w:pPr>
            <w:r>
              <w:rPr>
                <w:sz w:val="20"/>
              </w:rPr>
              <w:t xml:space="preserve">свыше 1,3 до 1,8 (включительно)</w:t>
            </w:r>
          </w:p>
        </w:tc>
        <w:tc>
          <w:tcPr>
            <w:tcW w:w="1586" w:type="dxa"/>
            <w:tcBorders>
              <w:top w:val="nil"/>
              <w:left w:val="nil"/>
              <w:bottom w:val="nil"/>
              <w:right w:val="nil"/>
            </w:tcBorders>
          </w:tcPr>
          <w:p>
            <w:pPr>
              <w:pStyle w:val="0"/>
              <w:jc w:val="center"/>
            </w:pPr>
            <w:r>
              <w:rPr>
                <w:sz w:val="20"/>
              </w:rPr>
              <w:t xml:space="preserve">7,5</w:t>
            </w:r>
          </w:p>
        </w:tc>
        <w:tc>
          <w:tcPr>
            <w:tcW w:w="1586" w:type="dxa"/>
            <w:tcBorders>
              <w:top w:val="nil"/>
              <w:left w:val="nil"/>
              <w:bottom w:val="nil"/>
              <w:right w:val="nil"/>
            </w:tcBorders>
          </w:tcPr>
          <w:p>
            <w:pPr>
              <w:pStyle w:val="0"/>
              <w:jc w:val="center"/>
            </w:pPr>
            <w:r>
              <w:rPr>
                <w:sz w:val="20"/>
              </w:rPr>
              <w:t xml:space="preserve">12</w:t>
            </w:r>
          </w:p>
        </w:tc>
        <w:tc>
          <w:tcPr>
            <w:tcW w:w="1587" w:type="dxa"/>
            <w:tcBorders>
              <w:top w:val="nil"/>
              <w:left w:val="nil"/>
              <w:bottom w:val="nil"/>
              <w:right w:val="nil"/>
            </w:tcBorders>
          </w:tcPr>
          <w:p>
            <w:pPr>
              <w:pStyle w:val="0"/>
              <w:jc w:val="center"/>
            </w:pPr>
            <w:r>
              <w:rPr>
                <w:sz w:val="20"/>
              </w:rPr>
              <w:t xml:space="preserve">14</w:t>
            </w:r>
          </w:p>
        </w:tc>
      </w:tr>
      <w:tr>
        <w:tc>
          <w:tcPr>
            <w:tcBorders>
              <w:top w:val="nil"/>
              <w:left w:val="nil"/>
              <w:bottom w:val="single" w:sz="4"/>
              <w:right w:val="nil"/>
            </w:tcBorders>
            <w:vMerge w:val="continue"/>
          </w:tcPr>
          <w:p/>
        </w:tc>
        <w:tc>
          <w:tcPr>
            <w:tcW w:w="2041" w:type="dxa"/>
            <w:tcBorders>
              <w:top w:val="nil"/>
              <w:left w:val="nil"/>
              <w:bottom w:val="single" w:sz="4"/>
              <w:right w:val="nil"/>
            </w:tcBorders>
          </w:tcPr>
          <w:p>
            <w:pPr>
              <w:pStyle w:val="0"/>
            </w:pPr>
            <w:r>
              <w:rPr>
                <w:sz w:val="20"/>
              </w:rPr>
              <w:t xml:space="preserve">свыше 1,8 до 2,5 (включительно)</w:t>
            </w:r>
          </w:p>
        </w:tc>
        <w:tc>
          <w:tcPr>
            <w:tcW w:w="1586" w:type="dxa"/>
            <w:tcBorders>
              <w:top w:val="nil"/>
              <w:left w:val="nil"/>
              <w:bottom w:val="single" w:sz="4"/>
              <w:right w:val="nil"/>
            </w:tcBorders>
          </w:tcPr>
          <w:p>
            <w:pPr>
              <w:pStyle w:val="0"/>
              <w:jc w:val="center"/>
            </w:pPr>
            <w:r>
              <w:rPr>
                <w:sz w:val="20"/>
              </w:rPr>
              <w:t xml:space="preserve">8,5</w:t>
            </w:r>
          </w:p>
        </w:tc>
        <w:tc>
          <w:tcPr>
            <w:tcW w:w="1586" w:type="dxa"/>
            <w:tcBorders>
              <w:top w:val="nil"/>
              <w:left w:val="nil"/>
              <w:bottom w:val="single" w:sz="4"/>
              <w:right w:val="nil"/>
            </w:tcBorders>
          </w:tcPr>
          <w:p>
            <w:pPr>
              <w:pStyle w:val="0"/>
              <w:jc w:val="center"/>
            </w:pPr>
            <w:r>
              <w:rPr>
                <w:sz w:val="20"/>
              </w:rPr>
              <w:t xml:space="preserve">13,5</w:t>
            </w:r>
          </w:p>
        </w:tc>
        <w:tc>
          <w:tcPr>
            <w:tcW w:w="1587" w:type="dxa"/>
            <w:tcBorders>
              <w:top w:val="nil"/>
              <w:left w:val="nil"/>
              <w:bottom w:val="single" w:sz="4"/>
              <w:right w:val="nil"/>
            </w:tcBorders>
          </w:tcPr>
          <w:p>
            <w:pPr>
              <w:pStyle w:val="0"/>
              <w:jc w:val="center"/>
            </w:pPr>
            <w:r>
              <w:rPr>
                <w:sz w:val="20"/>
              </w:rPr>
              <w:t xml:space="preserve">16</w:t>
            </w:r>
          </w:p>
        </w:tc>
      </w:tr>
    </w:tbl>
    <w:p>
      <w:pPr>
        <w:pStyle w:val="0"/>
        <w:jc w:val="both"/>
      </w:pPr>
      <w:r>
        <w:rPr>
          <w:sz w:val="20"/>
        </w:rPr>
      </w:r>
    </w:p>
    <w:p>
      <w:pPr>
        <w:pStyle w:val="0"/>
        <w:ind w:firstLine="540"/>
        <w:jc w:val="both"/>
      </w:pPr>
      <w:r>
        <w:rPr>
          <w:sz w:val="20"/>
        </w:rPr>
        <w:t xml:space="preserve">--------------------------------</w:t>
      </w:r>
    </w:p>
    <w:bookmarkStart w:id="479" w:name="P479"/>
    <w:bookmarkEnd w:id="479"/>
    <w:p>
      <w:pPr>
        <w:pStyle w:val="0"/>
        <w:spacing w:before="200" w:line-rule="auto"/>
        <w:ind w:firstLine="540"/>
        <w:jc w:val="both"/>
      </w:pPr>
      <w:r>
        <w:rPr>
          <w:sz w:val="20"/>
        </w:rPr>
        <w:t xml:space="preserve">&lt;*&gt;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bookmarkStart w:id="480" w:name="P480"/>
    <w:bookmarkEnd w:id="480"/>
    <w:p>
      <w:pPr>
        <w:pStyle w:val="0"/>
        <w:spacing w:before="200" w:line-rule="auto"/>
        <w:ind w:firstLine="540"/>
        <w:jc w:val="both"/>
      </w:pPr>
      <w:r>
        <w:rPr>
          <w:sz w:val="20"/>
        </w:rPr>
        <w:t xml:space="preserve">&lt;**&gt;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w:t>
      </w:r>
    </w:p>
    <w:bookmarkStart w:id="481" w:name="P481"/>
    <w:bookmarkEnd w:id="481"/>
    <w:p>
      <w:pPr>
        <w:pStyle w:val="0"/>
        <w:spacing w:before="200" w:line-rule="auto"/>
        <w:ind w:firstLine="540"/>
        <w:jc w:val="both"/>
      </w:pPr>
      <w:r>
        <w:rPr>
          <w:sz w:val="20"/>
        </w:rPr>
        <w:t xml:space="preserve">&lt;***&gt;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bookmarkStart w:id="482" w:name="P482"/>
    <w:bookmarkEnd w:id="482"/>
    <w:p>
      <w:pPr>
        <w:pStyle w:val="0"/>
        <w:spacing w:before="200" w:line-rule="auto"/>
        <w:ind w:firstLine="540"/>
        <w:jc w:val="both"/>
      </w:pPr>
      <w:r>
        <w:rPr>
          <w:sz w:val="20"/>
        </w:rPr>
        <w:t xml:space="preserve">&lt;****&gt; В том числе для транспортных средств, имеющих группы сближенных осей с односкатными колесами, оборудованными пневматической или эквивалентной ей подвеской.</w:t>
      </w:r>
    </w:p>
    <w:p>
      <w:pPr>
        <w:pStyle w:val="0"/>
        <w:jc w:val="both"/>
      </w:pPr>
      <w:r>
        <w:rPr>
          <w:sz w:val="20"/>
        </w:rPr>
      </w:r>
    </w:p>
    <w:p>
      <w:pPr>
        <w:pStyle w:val="0"/>
        <w:ind w:firstLine="540"/>
        <w:jc w:val="both"/>
      </w:pPr>
      <w:r>
        <w:rPr>
          <w:sz w:val="20"/>
        </w:rPr>
        <w:t xml:space="preserve">Примечания: 1. В скобках приведены значения для осей с двускатными колесами (колесо транспортного средства, имеющее две шины), без скобок - для осей с односкатными колесами (колесо транспортного средства, имеющее одну шину).</w:t>
      </w:r>
    </w:p>
    <w:p>
      <w:pPr>
        <w:pStyle w:val="0"/>
        <w:spacing w:before="200" w:line-rule="auto"/>
        <w:ind w:firstLine="540"/>
        <w:jc w:val="both"/>
      </w:pPr>
      <w:r>
        <w:rPr>
          <w:sz w:val="20"/>
        </w:rPr>
        <w:t xml:space="preserve">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p>
      <w:pPr>
        <w:pStyle w:val="0"/>
        <w:spacing w:before="200" w:line-rule="auto"/>
        <w:ind w:firstLine="540"/>
        <w:jc w:val="both"/>
      </w:pPr>
      <w:r>
        <w:rPr>
          <w:sz w:val="20"/>
        </w:rPr>
        <w:t xml:space="preserve">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history="0" w:anchor="P487" w:tooltip="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
        <w:r>
          <w:rPr>
            <w:sz w:val="20"/>
            <w:color w:val="0000ff"/>
          </w:rPr>
          <w:t xml:space="preserve">примечании 4</w:t>
        </w:r>
      </w:hyperlink>
      <w:r>
        <w:rPr>
          <w:sz w:val="20"/>
        </w:rPr>
        <w:t xml:space="preserve">.</w:t>
      </w:r>
    </w:p>
    <w:bookmarkStart w:id="487" w:name="P487"/>
    <w:bookmarkEnd w:id="487"/>
    <w:p>
      <w:pPr>
        <w:pStyle w:val="0"/>
        <w:spacing w:before="200" w:line-rule="auto"/>
        <w:ind w:firstLine="540"/>
        <w:jc w:val="both"/>
      </w:pPr>
      <w:r>
        <w:rPr>
          <w:sz w:val="20"/>
        </w:rPr>
        <w:t xml:space="preserve">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w:t>
      </w:r>
    </w:p>
    <w:p>
      <w:pPr>
        <w:pStyle w:val="0"/>
        <w:spacing w:before="200" w:line-rule="auto"/>
        <w:ind w:firstLine="540"/>
        <w:jc w:val="both"/>
      </w:pPr>
      <w:r>
        <w:rPr>
          <w:sz w:val="20"/>
        </w:rPr>
        <w:t xml:space="preserve">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p>
      <w:pPr>
        <w:pStyle w:val="0"/>
        <w:spacing w:before="200" w:line-rule="auto"/>
        <w:ind w:firstLine="540"/>
        <w:jc w:val="both"/>
      </w:pPr>
      <w:r>
        <w:rPr>
          <w:sz w:val="20"/>
        </w:rPr>
        <w:t xml:space="preserve">6. При промерзании грунта земляного полотна под дорожной одеждой на величину 0,4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w:t>
      </w:r>
    </w:p>
    <w:p>
      <w:pPr>
        <w:pStyle w:val="0"/>
        <w:spacing w:before="200" w:line-rule="auto"/>
        <w:ind w:firstLine="540"/>
        <w:jc w:val="both"/>
      </w:pPr>
      <w:r>
        <w:rPr>
          <w:sz w:val="20"/>
        </w:rPr>
        <w:t xml:space="preserve">а) при нормативном состоянии автомобильных дорог (при этом допустимая масса транспортного средства определяется в соответствии с </w:t>
      </w:r>
      <w:hyperlink w:history="0" w:anchor="P509" w:tooltip="ДОПУСТИМАЯ МАССА ТРАНСПОРТНОГО СРЕДСТВА">
        <w:r>
          <w:rPr>
            <w:sz w:val="20"/>
            <w:color w:val="0000ff"/>
          </w:rPr>
          <w:t xml:space="preserve">приложением N 3</w:t>
        </w:r>
      </w:hyperlink>
      <w:r>
        <w:rPr>
          <w:sz w:val="20"/>
        </w:rPr>
        <w:t xml:space="preserve"> к Правилам движения тяжеловесного и (или) крупногабаритного транспортного средства, утвержденным постановлением Правительства Российской Федерации от 1 декабря 2023 г. N 2060):</w:t>
      </w:r>
    </w:p>
    <w:p>
      <w:pPr>
        <w:pStyle w:val="0"/>
        <w:spacing w:before="200" w:line-rule="auto"/>
        <w:ind w:firstLine="540"/>
        <w:jc w:val="both"/>
      </w:pPr>
      <w:r>
        <w:rPr>
          <w:sz w:val="20"/>
        </w:rPr>
        <w:t xml:space="preserve">для автомобильной дороги I - II категории - в 1,04 раза;</w:t>
      </w:r>
    </w:p>
    <w:p>
      <w:pPr>
        <w:pStyle w:val="0"/>
        <w:spacing w:before="200" w:line-rule="auto"/>
        <w:ind w:firstLine="540"/>
        <w:jc w:val="both"/>
      </w:pPr>
      <w:r>
        <w:rPr>
          <w:sz w:val="20"/>
        </w:rPr>
        <w:t xml:space="preserve">для автомобильной дороги III - IV категории - в 1,20 раза;</w:t>
      </w:r>
    </w:p>
    <w:p>
      <w:pPr>
        <w:pStyle w:val="0"/>
        <w:spacing w:before="200" w:line-rule="auto"/>
        <w:ind w:firstLine="540"/>
        <w:jc w:val="both"/>
      </w:pPr>
      <w:r>
        <w:rPr>
          <w:sz w:val="20"/>
        </w:rPr>
        <w:t xml:space="preserve">для автомобильной дороги V категории - в 1,40 раза;</w:t>
      </w:r>
    </w:p>
    <w:p>
      <w:pPr>
        <w:pStyle w:val="0"/>
        <w:spacing w:before="200" w:line-rule="auto"/>
        <w:ind w:firstLine="540"/>
        <w:jc w:val="both"/>
      </w:pPr>
      <w:r>
        <w:rPr>
          <w:sz w:val="20"/>
        </w:rPr>
        <w:t xml:space="preserve">б) при отсутствии мостов и путепроводов (при этом допустимая масса транспортных средств не нормируется):</w:t>
      </w:r>
    </w:p>
    <w:p>
      <w:pPr>
        <w:pStyle w:val="0"/>
        <w:spacing w:before="200" w:line-rule="auto"/>
        <w:ind w:firstLine="540"/>
        <w:jc w:val="both"/>
      </w:pPr>
      <w:r>
        <w:rPr>
          <w:sz w:val="20"/>
        </w:rPr>
        <w:t xml:space="preserve">для автомобильной дороги I - II категории - в 1,80 раза;</w:t>
      </w:r>
    </w:p>
    <w:p>
      <w:pPr>
        <w:pStyle w:val="0"/>
        <w:spacing w:before="200" w:line-rule="auto"/>
        <w:ind w:firstLine="540"/>
        <w:jc w:val="both"/>
      </w:pPr>
      <w:r>
        <w:rPr>
          <w:sz w:val="20"/>
        </w:rPr>
        <w:t xml:space="preserve">для автомобильной дороги III - IV категории - в 2 раза;</w:t>
      </w:r>
    </w:p>
    <w:p>
      <w:pPr>
        <w:pStyle w:val="0"/>
        <w:spacing w:before="200" w:line-rule="auto"/>
        <w:ind w:firstLine="540"/>
        <w:jc w:val="both"/>
      </w:pPr>
      <w:r>
        <w:rPr>
          <w:sz w:val="20"/>
        </w:rPr>
        <w:t xml:space="preserve">для автомобильной дороги V категории - в 2,90 раза.</w:t>
      </w:r>
    </w:p>
    <w:p>
      <w:pPr>
        <w:pStyle w:val="0"/>
        <w:spacing w:before="200" w:line-rule="auto"/>
        <w:ind w:firstLine="540"/>
        <w:jc w:val="both"/>
      </w:pPr>
      <w:r>
        <w:rPr>
          <w:sz w:val="20"/>
        </w:rPr>
        <w:t xml:space="preserve">7. В случае принятия владельцем автомобильной дороги решения об изменении допустимой нагрузки на ось транспортного средства и установки соответствующих дорожных знаков допустимая нагрузка на ось транспортного средства принимается равной значению, указанному на таких знаках, вне зависимости от расстояния между ближайшими осями.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509" w:name="P509"/>
    <w:bookmarkEnd w:id="509"/>
    <w:p>
      <w:pPr>
        <w:pStyle w:val="2"/>
        <w:jc w:val="center"/>
      </w:pPr>
      <w:r>
        <w:rPr>
          <w:sz w:val="20"/>
        </w:rPr>
        <w:t xml:space="preserve">ДОПУСТИМАЯ МАССА ТРАНСПОРТНОГО СРЕДСТВА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235"/>
        <w:gridCol w:w="3544"/>
        <w:gridCol w:w="3288"/>
      </w:tblGrid>
      <w:tr>
        <w:tblPrEx>
          <w:tblBorders>
            <w:insideV w:val="single" w:sz="4"/>
            <w:insideH w:val="single" w:sz="4"/>
          </w:tblBorders>
        </w:tblPrEx>
        <w:tc>
          <w:tcPr>
            <w:tcW w:w="2235" w:type="dxa"/>
            <w:tcBorders>
              <w:top w:val="single" w:sz="4"/>
              <w:left w:val="nil"/>
              <w:bottom w:val="single" w:sz="4"/>
            </w:tcBorders>
          </w:tcPr>
          <w:p>
            <w:pPr>
              <w:pStyle w:val="0"/>
              <w:jc w:val="center"/>
            </w:pPr>
            <w:r>
              <w:rPr>
                <w:sz w:val="20"/>
              </w:rPr>
              <w:t xml:space="preserve">Тип транспортного средства</w:t>
            </w:r>
          </w:p>
        </w:tc>
        <w:tc>
          <w:tcPr>
            <w:tcW w:w="3544" w:type="dxa"/>
            <w:tcBorders>
              <w:top w:val="single" w:sz="4"/>
              <w:bottom w:val="single" w:sz="4"/>
            </w:tcBorders>
          </w:tcPr>
          <w:p>
            <w:pPr>
              <w:pStyle w:val="0"/>
              <w:jc w:val="center"/>
            </w:pPr>
            <w:r>
              <w:rPr>
                <w:sz w:val="20"/>
              </w:rPr>
              <w:t xml:space="preserve">Комбинация транспортных средств, количество и расположение осей</w:t>
            </w:r>
          </w:p>
        </w:tc>
        <w:tc>
          <w:tcPr>
            <w:tcW w:w="3288" w:type="dxa"/>
            <w:tcBorders>
              <w:top w:val="single" w:sz="4"/>
              <w:bottom w:val="single" w:sz="4"/>
              <w:right w:val="nil"/>
            </w:tcBorders>
          </w:tcPr>
          <w:p>
            <w:pPr>
              <w:pStyle w:val="0"/>
              <w:jc w:val="center"/>
            </w:pPr>
            <w:r>
              <w:rPr>
                <w:sz w:val="20"/>
              </w:rPr>
              <w:t xml:space="preserve">Допустимая масса транспортного средства, тонн</w:t>
            </w:r>
          </w:p>
        </w:tc>
      </w:tr>
      <w:tr>
        <w:tblPrEx>
          <w:tblBorders>
            <w:insideH w:val="single" w:sz="4"/>
          </w:tblBorders>
        </w:tblPrEx>
        <w:tc>
          <w:tcPr>
            <w:tcW w:w="2235" w:type="dxa"/>
            <w:tcBorders>
              <w:top w:val="single" w:sz="4"/>
              <w:left w:val="nil"/>
              <w:bottom w:val="nil"/>
              <w:right w:val="nil"/>
            </w:tcBorders>
            <w:vMerge w:val="restart"/>
          </w:tcPr>
          <w:p>
            <w:pPr>
              <w:pStyle w:val="0"/>
              <w:jc w:val="center"/>
            </w:pPr>
            <w:r>
              <w:rPr>
                <w:sz w:val="20"/>
              </w:rPr>
              <w:t xml:space="preserve">Одиночные автомобили</w:t>
            </w:r>
          </w:p>
        </w:tc>
        <w:tc>
          <w:tcPr>
            <w:tcW w:w="3544" w:type="dxa"/>
            <w:tcBorders>
              <w:top w:val="single" w:sz="4"/>
              <w:left w:val="nil"/>
              <w:bottom w:val="nil"/>
              <w:right w:val="nil"/>
            </w:tcBorders>
          </w:tcPr>
          <w:p>
            <w:pPr>
              <w:pStyle w:val="0"/>
              <w:jc w:val="center"/>
            </w:pPr>
            <w:r>
              <w:rPr>
                <w:sz w:val="20"/>
              </w:rPr>
              <w:t xml:space="preserve">двухосные</w:t>
            </w:r>
          </w:p>
        </w:tc>
        <w:tc>
          <w:tcPr>
            <w:tcW w:w="3288" w:type="dxa"/>
            <w:tcBorders>
              <w:top w:val="single" w:sz="4"/>
              <w:left w:val="nil"/>
              <w:bottom w:val="nil"/>
              <w:right w:val="nil"/>
            </w:tcBorders>
          </w:tcPr>
          <w:p>
            <w:pPr>
              <w:pStyle w:val="0"/>
              <w:jc w:val="center"/>
            </w:pPr>
            <w:r>
              <w:rPr>
                <w:sz w:val="20"/>
              </w:rPr>
              <w:t xml:space="preserve">18</w:t>
            </w:r>
          </w:p>
        </w:tc>
      </w:tr>
      <w:tr>
        <w:tc>
          <w:tcPr>
            <w:tcBorders>
              <w:top w:val="single" w:sz="4"/>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трехосные</w:t>
            </w:r>
          </w:p>
        </w:tc>
        <w:tc>
          <w:tcPr>
            <w:tcW w:w="3288" w:type="dxa"/>
            <w:tcBorders>
              <w:top w:val="nil"/>
              <w:left w:val="nil"/>
              <w:bottom w:val="nil"/>
              <w:right w:val="nil"/>
            </w:tcBorders>
          </w:tcPr>
          <w:p>
            <w:pPr>
              <w:pStyle w:val="0"/>
              <w:jc w:val="center"/>
            </w:pPr>
            <w:r>
              <w:rPr>
                <w:sz w:val="20"/>
              </w:rPr>
              <w:t xml:space="preserve">25</w:t>
            </w:r>
          </w:p>
        </w:tc>
      </w:tr>
      <w:tr>
        <w:tc>
          <w:tcPr>
            <w:tcW w:w="2235" w:type="dxa"/>
            <w:tcBorders>
              <w:top w:val="nil"/>
              <w:left w:val="nil"/>
              <w:bottom w:val="nil"/>
              <w:right w:val="nil"/>
            </w:tcBorders>
          </w:tcPr>
          <w:p>
            <w:pPr>
              <w:pStyle w:val="0"/>
            </w:pPr>
            <w:r>
              <w:rPr>
                <w:sz w:val="20"/>
              </w:rPr>
            </w:r>
          </w:p>
        </w:tc>
        <w:tc>
          <w:tcPr>
            <w:tcW w:w="3544" w:type="dxa"/>
            <w:tcBorders>
              <w:top w:val="nil"/>
              <w:left w:val="nil"/>
              <w:bottom w:val="nil"/>
              <w:right w:val="nil"/>
            </w:tcBorders>
          </w:tcPr>
          <w:p>
            <w:pPr>
              <w:pStyle w:val="0"/>
              <w:jc w:val="center"/>
            </w:pPr>
            <w:r>
              <w:rPr>
                <w:sz w:val="20"/>
              </w:rPr>
              <w:t xml:space="preserve">четырехосные</w:t>
            </w:r>
          </w:p>
        </w:tc>
        <w:tc>
          <w:tcPr>
            <w:tcW w:w="3288" w:type="dxa"/>
            <w:tcBorders>
              <w:top w:val="nil"/>
              <w:left w:val="nil"/>
              <w:bottom w:val="nil"/>
              <w:right w:val="nil"/>
            </w:tcBorders>
          </w:tcPr>
          <w:p>
            <w:pPr>
              <w:pStyle w:val="0"/>
              <w:jc w:val="center"/>
            </w:pPr>
            <w:r>
              <w:rPr>
                <w:sz w:val="20"/>
              </w:rPr>
              <w:t xml:space="preserve">32</w:t>
            </w:r>
          </w:p>
        </w:tc>
      </w:tr>
      <w:tr>
        <w:tc>
          <w:tcPr>
            <w:tcW w:w="2235" w:type="dxa"/>
            <w:tcBorders>
              <w:top w:val="nil"/>
              <w:left w:val="nil"/>
              <w:bottom w:val="nil"/>
              <w:right w:val="nil"/>
            </w:tcBorders>
          </w:tcPr>
          <w:p>
            <w:pPr>
              <w:pStyle w:val="0"/>
            </w:pPr>
            <w:r>
              <w:rPr>
                <w:sz w:val="20"/>
              </w:rPr>
            </w:r>
          </w:p>
        </w:tc>
        <w:tc>
          <w:tcPr>
            <w:tcW w:w="3544" w:type="dxa"/>
            <w:tcBorders>
              <w:top w:val="nil"/>
              <w:left w:val="nil"/>
              <w:bottom w:val="nil"/>
              <w:right w:val="nil"/>
            </w:tcBorders>
          </w:tcPr>
          <w:p>
            <w:pPr>
              <w:pStyle w:val="0"/>
              <w:jc w:val="center"/>
            </w:pPr>
            <w:r>
              <w:rPr>
                <w:sz w:val="20"/>
              </w:rPr>
              <w:t xml:space="preserve">пятиосные и более</w:t>
            </w:r>
          </w:p>
        </w:tc>
        <w:tc>
          <w:tcPr>
            <w:tcW w:w="3288" w:type="dxa"/>
            <w:tcBorders>
              <w:top w:val="nil"/>
              <w:left w:val="nil"/>
              <w:bottom w:val="nil"/>
              <w:right w:val="nil"/>
            </w:tcBorders>
          </w:tcPr>
          <w:p>
            <w:pPr>
              <w:pStyle w:val="0"/>
              <w:jc w:val="center"/>
            </w:pPr>
            <w:r>
              <w:rPr>
                <w:sz w:val="20"/>
              </w:rPr>
              <w:t xml:space="preserve">38</w:t>
            </w:r>
          </w:p>
        </w:tc>
      </w:tr>
      <w:tr>
        <w:tc>
          <w:tcPr>
            <w:tcW w:w="2235" w:type="dxa"/>
            <w:tcBorders>
              <w:top w:val="nil"/>
              <w:left w:val="nil"/>
              <w:bottom w:val="nil"/>
              <w:right w:val="nil"/>
            </w:tcBorders>
            <w:vMerge w:val="restart"/>
          </w:tcPr>
          <w:p>
            <w:pPr>
              <w:pStyle w:val="0"/>
              <w:jc w:val="center"/>
            </w:pPr>
            <w:r>
              <w:rPr>
                <w:sz w:val="20"/>
              </w:rPr>
              <w:t xml:space="preserve">Автопоезда седельные и прицепные</w:t>
            </w:r>
          </w:p>
        </w:tc>
        <w:tc>
          <w:tcPr>
            <w:tcW w:w="3544" w:type="dxa"/>
            <w:tcBorders>
              <w:top w:val="nil"/>
              <w:left w:val="nil"/>
              <w:bottom w:val="nil"/>
              <w:right w:val="nil"/>
            </w:tcBorders>
          </w:tcPr>
          <w:p>
            <w:pPr>
              <w:pStyle w:val="0"/>
              <w:jc w:val="center"/>
            </w:pPr>
            <w:r>
              <w:rPr>
                <w:sz w:val="20"/>
              </w:rPr>
              <w:t xml:space="preserve">трехосные</w:t>
            </w:r>
          </w:p>
        </w:tc>
        <w:tc>
          <w:tcPr>
            <w:tcW w:w="3288" w:type="dxa"/>
            <w:tcBorders>
              <w:top w:val="nil"/>
              <w:left w:val="nil"/>
              <w:bottom w:val="nil"/>
              <w:right w:val="nil"/>
            </w:tcBorders>
          </w:tcPr>
          <w:p>
            <w:pPr>
              <w:pStyle w:val="0"/>
              <w:jc w:val="center"/>
            </w:pPr>
            <w:r>
              <w:rPr>
                <w:sz w:val="20"/>
              </w:rPr>
              <w:t xml:space="preserve">28</w:t>
            </w:r>
          </w:p>
        </w:tc>
      </w:tr>
      <w:tr>
        <w:tc>
          <w:tcPr>
            <w:tcBorders>
              <w:top w:val="nil"/>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четырехосные</w:t>
            </w:r>
          </w:p>
        </w:tc>
        <w:tc>
          <w:tcPr>
            <w:tcW w:w="3288" w:type="dxa"/>
            <w:tcBorders>
              <w:top w:val="nil"/>
              <w:left w:val="nil"/>
              <w:bottom w:val="nil"/>
              <w:right w:val="nil"/>
            </w:tcBorders>
          </w:tcPr>
          <w:p>
            <w:pPr>
              <w:pStyle w:val="0"/>
              <w:jc w:val="center"/>
            </w:pPr>
            <w:r>
              <w:rPr>
                <w:sz w:val="20"/>
              </w:rPr>
              <w:t xml:space="preserve">36</w:t>
            </w:r>
          </w:p>
        </w:tc>
      </w:tr>
      <w:tr>
        <w:tc>
          <w:tcPr>
            <w:tcBorders>
              <w:top w:val="nil"/>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пятиосные</w:t>
            </w:r>
          </w:p>
        </w:tc>
        <w:tc>
          <w:tcPr>
            <w:tcW w:w="3288" w:type="dxa"/>
            <w:tcBorders>
              <w:top w:val="nil"/>
              <w:left w:val="nil"/>
              <w:bottom w:val="nil"/>
              <w:right w:val="nil"/>
            </w:tcBorders>
          </w:tcPr>
          <w:p>
            <w:pPr>
              <w:pStyle w:val="0"/>
              <w:jc w:val="center"/>
            </w:pPr>
            <w:r>
              <w:rPr>
                <w:sz w:val="20"/>
              </w:rPr>
              <w:t xml:space="preserve">40</w:t>
            </w:r>
          </w:p>
        </w:tc>
      </w:tr>
      <w:tr>
        <w:tc>
          <w:tcPr>
            <w:tcW w:w="2235" w:type="dxa"/>
            <w:tcBorders>
              <w:top w:val="nil"/>
              <w:left w:val="nil"/>
              <w:bottom w:val="nil"/>
              <w:right w:val="nil"/>
            </w:tcBorders>
          </w:tcPr>
          <w:p>
            <w:pPr>
              <w:pStyle w:val="0"/>
            </w:pPr>
            <w:r>
              <w:rPr>
                <w:sz w:val="20"/>
              </w:rPr>
            </w:r>
          </w:p>
        </w:tc>
        <w:tc>
          <w:tcPr>
            <w:tcW w:w="3544" w:type="dxa"/>
            <w:tcBorders>
              <w:top w:val="nil"/>
              <w:left w:val="nil"/>
              <w:bottom w:val="nil"/>
              <w:right w:val="nil"/>
            </w:tcBorders>
          </w:tcPr>
          <w:p>
            <w:pPr>
              <w:pStyle w:val="0"/>
              <w:jc w:val="center"/>
            </w:pPr>
            <w:r>
              <w:rPr>
                <w:sz w:val="20"/>
              </w:rPr>
              <w:t xml:space="preserve">шестиосные и более</w:t>
            </w:r>
          </w:p>
        </w:tc>
        <w:tc>
          <w:tcPr>
            <w:tcW w:w="3288" w:type="dxa"/>
            <w:tcBorders>
              <w:top w:val="nil"/>
              <w:left w:val="nil"/>
              <w:bottom w:val="nil"/>
              <w:right w:val="nil"/>
            </w:tcBorders>
          </w:tcPr>
          <w:p>
            <w:pPr>
              <w:pStyle w:val="0"/>
              <w:jc w:val="center"/>
            </w:pPr>
            <w:r>
              <w:rPr>
                <w:sz w:val="20"/>
              </w:rPr>
              <w:t xml:space="preserve">44</w:t>
            </w:r>
          </w:p>
        </w:tc>
      </w:tr>
      <w:tr>
        <w:tc>
          <w:tcPr>
            <w:tcW w:w="2235" w:type="dxa"/>
            <w:tcBorders>
              <w:top w:val="nil"/>
              <w:left w:val="nil"/>
              <w:bottom w:val="nil"/>
              <w:right w:val="nil"/>
            </w:tcBorders>
            <w:vMerge w:val="restart"/>
          </w:tcPr>
          <w:p>
            <w:pPr>
              <w:pStyle w:val="0"/>
              <w:jc w:val="center"/>
            </w:pPr>
            <w:r>
              <w:rPr>
                <w:sz w:val="20"/>
              </w:rPr>
              <w:t xml:space="preserve">Одиночные автобусы</w:t>
            </w:r>
          </w:p>
        </w:tc>
        <w:tc>
          <w:tcPr>
            <w:tcW w:w="3544" w:type="dxa"/>
            <w:tcBorders>
              <w:top w:val="nil"/>
              <w:left w:val="nil"/>
              <w:bottom w:val="nil"/>
              <w:right w:val="nil"/>
            </w:tcBorders>
          </w:tcPr>
          <w:p>
            <w:pPr>
              <w:pStyle w:val="0"/>
              <w:jc w:val="center"/>
            </w:pPr>
            <w:r>
              <w:rPr>
                <w:sz w:val="20"/>
              </w:rPr>
              <w:t xml:space="preserve">двухосные</w:t>
            </w:r>
          </w:p>
        </w:tc>
        <w:tc>
          <w:tcPr>
            <w:tcW w:w="3288" w:type="dxa"/>
            <w:tcBorders>
              <w:top w:val="nil"/>
              <w:left w:val="nil"/>
              <w:bottom w:val="nil"/>
              <w:right w:val="nil"/>
            </w:tcBorders>
          </w:tcPr>
          <w:p>
            <w:pPr>
              <w:pStyle w:val="0"/>
              <w:jc w:val="center"/>
            </w:pPr>
            <w:r>
              <w:rPr>
                <w:sz w:val="20"/>
              </w:rPr>
              <w:t xml:space="preserve">18</w:t>
            </w:r>
          </w:p>
        </w:tc>
      </w:tr>
      <w:tr>
        <w:tc>
          <w:tcPr>
            <w:tcBorders>
              <w:top w:val="nil"/>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трехосные</w:t>
            </w:r>
          </w:p>
        </w:tc>
        <w:tc>
          <w:tcPr>
            <w:tcW w:w="3288" w:type="dxa"/>
            <w:tcBorders>
              <w:top w:val="nil"/>
              <w:left w:val="nil"/>
              <w:bottom w:val="nil"/>
              <w:right w:val="nil"/>
            </w:tcBorders>
          </w:tcPr>
          <w:p>
            <w:pPr>
              <w:pStyle w:val="0"/>
              <w:jc w:val="center"/>
            </w:pPr>
            <w:r>
              <w:rPr>
                <w:sz w:val="20"/>
              </w:rPr>
              <w:t xml:space="preserve">25</w:t>
            </w:r>
          </w:p>
        </w:tc>
      </w:tr>
      <w:tr>
        <w:tc>
          <w:tcPr>
            <w:tcW w:w="2235" w:type="dxa"/>
            <w:tcBorders>
              <w:top w:val="nil"/>
              <w:left w:val="nil"/>
              <w:bottom w:val="nil"/>
              <w:right w:val="nil"/>
            </w:tcBorders>
          </w:tcPr>
          <w:p>
            <w:pPr>
              <w:pStyle w:val="0"/>
            </w:pPr>
            <w:r>
              <w:rPr>
                <w:sz w:val="20"/>
              </w:rPr>
            </w:r>
          </w:p>
        </w:tc>
        <w:tc>
          <w:tcPr>
            <w:tcW w:w="3544" w:type="dxa"/>
            <w:tcBorders>
              <w:top w:val="nil"/>
              <w:left w:val="nil"/>
              <w:bottom w:val="nil"/>
              <w:right w:val="nil"/>
            </w:tcBorders>
          </w:tcPr>
          <w:p>
            <w:pPr>
              <w:pStyle w:val="0"/>
              <w:jc w:val="center"/>
            </w:pPr>
            <w:r>
              <w:rPr>
                <w:sz w:val="20"/>
              </w:rPr>
              <w:t xml:space="preserve">четырехосные</w:t>
            </w:r>
          </w:p>
        </w:tc>
        <w:tc>
          <w:tcPr>
            <w:tcW w:w="3288" w:type="dxa"/>
            <w:tcBorders>
              <w:top w:val="nil"/>
              <w:left w:val="nil"/>
              <w:bottom w:val="nil"/>
              <w:right w:val="nil"/>
            </w:tcBorders>
          </w:tcPr>
          <w:p>
            <w:pPr>
              <w:pStyle w:val="0"/>
              <w:jc w:val="center"/>
            </w:pPr>
            <w:r>
              <w:rPr>
                <w:sz w:val="20"/>
              </w:rPr>
              <w:t xml:space="preserve">32</w:t>
            </w:r>
          </w:p>
        </w:tc>
      </w:tr>
      <w:tr>
        <w:tc>
          <w:tcPr>
            <w:tcW w:w="2235" w:type="dxa"/>
            <w:tcBorders>
              <w:top w:val="nil"/>
              <w:left w:val="nil"/>
              <w:bottom w:val="nil"/>
              <w:right w:val="nil"/>
            </w:tcBorders>
            <w:vMerge w:val="restart"/>
          </w:tcPr>
          <w:p>
            <w:pPr>
              <w:pStyle w:val="0"/>
              <w:jc w:val="center"/>
            </w:pPr>
            <w:r>
              <w:rPr>
                <w:sz w:val="20"/>
              </w:rPr>
              <w:t xml:space="preserve">Сочлененные автобусы</w:t>
            </w:r>
          </w:p>
        </w:tc>
        <w:tc>
          <w:tcPr>
            <w:tcW w:w="3544" w:type="dxa"/>
            <w:tcBorders>
              <w:top w:val="nil"/>
              <w:left w:val="nil"/>
              <w:bottom w:val="nil"/>
              <w:right w:val="nil"/>
            </w:tcBorders>
          </w:tcPr>
          <w:p>
            <w:pPr>
              <w:pStyle w:val="0"/>
              <w:jc w:val="center"/>
            </w:pPr>
            <w:r>
              <w:rPr>
                <w:sz w:val="20"/>
              </w:rPr>
              <w:t xml:space="preserve">трехосные</w:t>
            </w:r>
          </w:p>
        </w:tc>
        <w:tc>
          <w:tcPr>
            <w:tcW w:w="3288" w:type="dxa"/>
            <w:tcBorders>
              <w:top w:val="nil"/>
              <w:left w:val="nil"/>
              <w:bottom w:val="nil"/>
              <w:right w:val="nil"/>
            </w:tcBorders>
          </w:tcPr>
          <w:p>
            <w:pPr>
              <w:pStyle w:val="0"/>
              <w:jc w:val="center"/>
            </w:pPr>
            <w:r>
              <w:rPr>
                <w:sz w:val="20"/>
              </w:rPr>
              <w:t xml:space="preserve">28</w:t>
            </w:r>
          </w:p>
        </w:tc>
      </w:tr>
      <w:tr>
        <w:tc>
          <w:tcPr>
            <w:tcBorders>
              <w:top w:val="nil"/>
              <w:left w:val="nil"/>
              <w:bottom w:val="nil"/>
              <w:right w:val="nil"/>
            </w:tcBorders>
            <w:vMerge w:val="continue"/>
          </w:tcPr>
          <w:p/>
        </w:tc>
        <w:tc>
          <w:tcPr>
            <w:tcW w:w="3544" w:type="dxa"/>
            <w:tcBorders>
              <w:top w:val="nil"/>
              <w:left w:val="nil"/>
              <w:bottom w:val="nil"/>
              <w:right w:val="nil"/>
            </w:tcBorders>
          </w:tcPr>
          <w:p>
            <w:pPr>
              <w:pStyle w:val="0"/>
              <w:jc w:val="center"/>
            </w:pPr>
            <w:r>
              <w:rPr>
                <w:sz w:val="20"/>
              </w:rPr>
              <w:t xml:space="preserve">четырехосные</w:t>
            </w:r>
          </w:p>
        </w:tc>
        <w:tc>
          <w:tcPr>
            <w:tcW w:w="3288" w:type="dxa"/>
            <w:tcBorders>
              <w:top w:val="nil"/>
              <w:left w:val="nil"/>
              <w:bottom w:val="nil"/>
              <w:right w:val="nil"/>
            </w:tcBorders>
          </w:tcPr>
          <w:p>
            <w:pPr>
              <w:pStyle w:val="0"/>
              <w:jc w:val="center"/>
            </w:pPr>
            <w:r>
              <w:rPr>
                <w:sz w:val="20"/>
              </w:rPr>
              <w:t xml:space="preserve">36</w:t>
            </w:r>
          </w:p>
        </w:tc>
      </w:tr>
      <w:tr>
        <w:tc>
          <w:tcPr>
            <w:tcW w:w="2235" w:type="dxa"/>
            <w:tcBorders>
              <w:top w:val="nil"/>
              <w:left w:val="nil"/>
              <w:bottom w:val="single" w:sz="4"/>
              <w:right w:val="nil"/>
            </w:tcBorders>
          </w:tcPr>
          <w:p>
            <w:pPr>
              <w:pStyle w:val="0"/>
            </w:pPr>
            <w:r>
              <w:rPr>
                <w:sz w:val="20"/>
              </w:rPr>
            </w:r>
          </w:p>
        </w:tc>
        <w:tc>
          <w:tcPr>
            <w:tcW w:w="3544" w:type="dxa"/>
            <w:tcBorders>
              <w:top w:val="nil"/>
              <w:left w:val="nil"/>
              <w:bottom w:val="single" w:sz="4"/>
              <w:right w:val="nil"/>
            </w:tcBorders>
          </w:tcPr>
          <w:p>
            <w:pPr>
              <w:pStyle w:val="0"/>
              <w:jc w:val="center"/>
            </w:pPr>
            <w:r>
              <w:rPr>
                <w:sz w:val="20"/>
              </w:rPr>
              <w:t xml:space="preserve">пятиосные и более</w:t>
            </w:r>
          </w:p>
        </w:tc>
        <w:tc>
          <w:tcPr>
            <w:tcW w:w="3288" w:type="dxa"/>
            <w:tcBorders>
              <w:top w:val="nil"/>
              <w:left w:val="nil"/>
              <w:bottom w:val="single" w:sz="4"/>
              <w:right w:val="nil"/>
            </w:tcBorders>
          </w:tcPr>
          <w:p>
            <w:pPr>
              <w:pStyle w:val="0"/>
              <w:jc w:val="center"/>
            </w:pPr>
            <w:r>
              <w:rPr>
                <w:sz w:val="20"/>
              </w:rPr>
              <w:t xml:space="preserve">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561" w:name="P561"/>
    <w:bookmarkEnd w:id="561"/>
    <w:p>
      <w:pPr>
        <w:pStyle w:val="2"/>
        <w:jc w:val="center"/>
      </w:pPr>
      <w:r>
        <w:rPr>
          <w:sz w:val="20"/>
        </w:rPr>
        <w:t xml:space="preserve">КОЭФФИЦИЕНТЫ,</w:t>
      </w:r>
    </w:p>
    <w:p>
      <w:pPr>
        <w:pStyle w:val="2"/>
        <w:jc w:val="center"/>
      </w:pPr>
      <w:r>
        <w:rPr>
          <w:sz w:val="20"/>
        </w:rPr>
        <w:t xml:space="preserve">УЧИТЫВАЮЩИЕ ОТНОСИТЕЛЬНУЮ СТОИМОСТЬ ВЫПОЛНЕНИЯ</w:t>
      </w:r>
    </w:p>
    <w:p>
      <w:pPr>
        <w:pStyle w:val="2"/>
        <w:jc w:val="center"/>
      </w:pPr>
      <w:r>
        <w:rPr>
          <w:sz w:val="20"/>
        </w:rPr>
        <w:t xml:space="preserve">РАБОТ ПО КАПИТАЛЬНОМУ РЕМОНТУ И РЕМОНТУ В ЗАВИСИМОСТИ</w:t>
      </w:r>
    </w:p>
    <w:p>
      <w:pPr>
        <w:pStyle w:val="2"/>
        <w:jc w:val="center"/>
      </w:pPr>
      <w:r>
        <w:rPr>
          <w:sz w:val="20"/>
        </w:rPr>
        <w:t xml:space="preserve">ОТ РАСПОЛОЖЕНИЯ АВТОМОБИЛЬНОЙ ДОРОГИ НА ТЕРРИТОРИИ</w:t>
      </w:r>
    </w:p>
    <w:p>
      <w:pPr>
        <w:pStyle w:val="2"/>
        <w:jc w:val="center"/>
      </w:pPr>
      <w:r>
        <w:rPr>
          <w:sz w:val="20"/>
        </w:rPr>
        <w:t xml:space="preserve">РОССИЙСКОЙ ФЕДЕРАЦИИ, УСЛОВИЯ ДОРОЖНО-КЛИМАТИЧЕСКИХ ЗОН,</w:t>
      </w:r>
    </w:p>
    <w:p>
      <w:pPr>
        <w:pStyle w:val="2"/>
        <w:jc w:val="center"/>
      </w:pPr>
      <w:r>
        <w:rPr>
          <w:sz w:val="20"/>
        </w:rPr>
        <w:t xml:space="preserve">А ТАКЖЕ КОЭФФИЦИЕНТЫ ВЛИЯНИЯ МАССЫ ТРАНСПОРТНОГО СРЕДСТВА</w:t>
      </w:r>
    </w:p>
    <w:p>
      <w:pPr>
        <w:pStyle w:val="2"/>
        <w:jc w:val="center"/>
      </w:pPr>
      <w:r>
        <w:rPr>
          <w:sz w:val="20"/>
        </w:rPr>
        <w:t xml:space="preserve">В ЗАВИСИМОСТИ ОТ РАСПОЛОЖЕНИЯ АВТОМОБИЛЬНОЙ ДОРОГИ</w:t>
      </w:r>
    </w:p>
    <w:p>
      <w:pPr>
        <w:pStyle w:val="2"/>
        <w:jc w:val="center"/>
      </w:pPr>
      <w:r>
        <w:rPr>
          <w:sz w:val="20"/>
        </w:rPr>
        <w:t xml:space="preserve">НА ТЕРРИТОРИИ РОССИЙСКОЙ ФЕДЕРАЦИИ</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097"/>
        <w:gridCol w:w="1979"/>
        <w:gridCol w:w="1979"/>
        <w:gridCol w:w="1980"/>
      </w:tblGrid>
      <w:tr>
        <w:tblPrEx>
          <w:tblBorders>
            <w:insideV w:val="single" w:sz="4"/>
            <w:insideH w:val="single" w:sz="4"/>
          </w:tblBorders>
        </w:tblPrEx>
        <w:tc>
          <w:tcPr>
            <w:tcW w:w="3097" w:type="dxa"/>
            <w:tcBorders>
              <w:top w:val="single" w:sz="4"/>
              <w:left w:val="nil"/>
              <w:bottom w:val="single" w:sz="4"/>
            </w:tcBorders>
          </w:tcPr>
          <w:p>
            <w:pPr>
              <w:pStyle w:val="0"/>
              <w:jc w:val="center"/>
            </w:pPr>
            <w:r>
              <w:rPr>
                <w:sz w:val="20"/>
              </w:rPr>
              <w:t xml:space="preserve">Федеральный округ Российской Федерации</w:t>
            </w:r>
          </w:p>
        </w:tc>
        <w:tc>
          <w:tcPr>
            <w:tcW w:w="1979" w:type="dxa"/>
            <w:tcBorders>
              <w:top w:val="single" w:sz="4"/>
              <w:bottom w:val="single" w:sz="4"/>
            </w:tcBorders>
          </w:tcPr>
          <w:p>
            <w:pPr>
              <w:pStyle w:val="0"/>
              <w:jc w:val="center"/>
            </w:pPr>
            <w:r>
              <w:rPr>
                <w:sz w:val="20"/>
              </w:rPr>
              <w:t xml:space="preserve">К</w:t>
            </w:r>
            <w:r>
              <w:rPr>
                <w:sz w:val="20"/>
                <w:vertAlign w:val="subscript"/>
              </w:rPr>
              <w:t xml:space="preserve">дкз</w:t>
            </w:r>
          </w:p>
        </w:tc>
        <w:tc>
          <w:tcPr>
            <w:tcW w:w="1979" w:type="dxa"/>
            <w:tcBorders>
              <w:top w:val="single" w:sz="4"/>
              <w:bottom w:val="single" w:sz="4"/>
            </w:tcBorders>
          </w:tcPr>
          <w:p>
            <w:pPr>
              <w:pStyle w:val="0"/>
              <w:jc w:val="center"/>
            </w:pPr>
            <w:r>
              <w:rPr>
                <w:sz w:val="20"/>
              </w:rPr>
              <w:t xml:space="preserve">К</w:t>
            </w:r>
            <w:r>
              <w:rPr>
                <w:sz w:val="20"/>
                <w:vertAlign w:val="subscript"/>
              </w:rPr>
              <w:t xml:space="preserve">кап.рем</w:t>
            </w:r>
          </w:p>
        </w:tc>
        <w:tc>
          <w:tcPr>
            <w:tcW w:w="1980" w:type="dxa"/>
            <w:tcBorders>
              <w:top w:val="single" w:sz="4"/>
              <w:bottom w:val="single" w:sz="4"/>
              <w:right w:val="nil"/>
            </w:tcBorders>
          </w:tcPr>
          <w:p>
            <w:pPr>
              <w:pStyle w:val="0"/>
              <w:jc w:val="center"/>
            </w:pPr>
            <w:r>
              <w:rPr>
                <w:sz w:val="20"/>
              </w:rPr>
              <w:t xml:space="preserve">К</w:t>
            </w:r>
            <w:r>
              <w:rPr>
                <w:sz w:val="20"/>
                <w:vertAlign w:val="subscript"/>
              </w:rPr>
              <w:t xml:space="preserve">пм</w:t>
            </w:r>
          </w:p>
        </w:tc>
      </w:tr>
      <w:tr>
        <w:tc>
          <w:tcPr>
            <w:tcW w:w="3097" w:type="dxa"/>
            <w:tcBorders>
              <w:top w:val="single" w:sz="4"/>
              <w:left w:val="nil"/>
              <w:bottom w:val="nil"/>
              <w:right w:val="nil"/>
            </w:tcBorders>
          </w:tcPr>
          <w:p>
            <w:pPr>
              <w:pStyle w:val="0"/>
            </w:pPr>
            <w:r>
              <w:rPr>
                <w:sz w:val="20"/>
              </w:rPr>
              <w:t xml:space="preserve">Центральный</w:t>
            </w:r>
          </w:p>
        </w:tc>
        <w:tc>
          <w:tcPr>
            <w:tcW w:w="1979" w:type="dxa"/>
            <w:tcBorders>
              <w:top w:val="single" w:sz="4"/>
              <w:left w:val="nil"/>
              <w:bottom w:val="nil"/>
              <w:right w:val="nil"/>
            </w:tcBorders>
          </w:tcPr>
          <w:p>
            <w:pPr>
              <w:pStyle w:val="0"/>
              <w:jc w:val="center"/>
            </w:pPr>
            <w:r>
              <w:rPr>
                <w:sz w:val="20"/>
              </w:rPr>
              <w:t xml:space="preserve">2,07</w:t>
            </w:r>
          </w:p>
        </w:tc>
        <w:tc>
          <w:tcPr>
            <w:tcW w:w="1979" w:type="dxa"/>
            <w:tcBorders>
              <w:top w:val="single" w:sz="4"/>
              <w:left w:val="nil"/>
              <w:bottom w:val="nil"/>
              <w:right w:val="nil"/>
            </w:tcBorders>
          </w:tcPr>
          <w:p>
            <w:pPr>
              <w:pStyle w:val="0"/>
              <w:jc w:val="center"/>
            </w:pPr>
            <w:r>
              <w:rPr>
                <w:sz w:val="20"/>
              </w:rPr>
              <w:t xml:space="preserve">1</w:t>
            </w:r>
          </w:p>
        </w:tc>
        <w:tc>
          <w:tcPr>
            <w:tcW w:w="1980" w:type="dxa"/>
            <w:tcBorders>
              <w:top w:val="single" w:sz="4"/>
              <w:left w:val="nil"/>
              <w:bottom w:val="nil"/>
              <w:right w:val="nil"/>
            </w:tcBorders>
          </w:tcPr>
          <w:p>
            <w:pPr>
              <w:pStyle w:val="0"/>
              <w:jc w:val="center"/>
            </w:pPr>
            <w:r>
              <w:rPr>
                <w:sz w:val="20"/>
              </w:rPr>
              <w:t xml:space="preserve">1</w:t>
            </w:r>
          </w:p>
        </w:tc>
      </w:tr>
      <w:tr>
        <w:tc>
          <w:tcPr>
            <w:tcW w:w="3097" w:type="dxa"/>
            <w:tcBorders>
              <w:top w:val="nil"/>
              <w:left w:val="nil"/>
              <w:bottom w:val="nil"/>
              <w:right w:val="nil"/>
            </w:tcBorders>
          </w:tcPr>
          <w:p>
            <w:pPr>
              <w:pStyle w:val="0"/>
            </w:pPr>
            <w:r>
              <w:rPr>
                <w:sz w:val="20"/>
              </w:rPr>
              <w:t xml:space="preserve">Северо-Западный</w:t>
            </w:r>
          </w:p>
        </w:tc>
        <w:tc>
          <w:tcPr>
            <w:tcW w:w="1979" w:type="dxa"/>
            <w:tcBorders>
              <w:top w:val="nil"/>
              <w:left w:val="nil"/>
              <w:bottom w:val="nil"/>
              <w:right w:val="nil"/>
            </w:tcBorders>
          </w:tcPr>
          <w:p>
            <w:pPr>
              <w:pStyle w:val="0"/>
              <w:jc w:val="center"/>
            </w:pPr>
            <w:r>
              <w:rPr>
                <w:sz w:val="20"/>
              </w:rPr>
              <w:t xml:space="preserve">2,14</w:t>
            </w:r>
          </w:p>
        </w:tc>
        <w:tc>
          <w:tcPr>
            <w:tcW w:w="1979" w:type="dxa"/>
            <w:tcBorders>
              <w:top w:val="nil"/>
              <w:left w:val="nil"/>
              <w:bottom w:val="nil"/>
              <w:right w:val="nil"/>
            </w:tcBorders>
          </w:tcPr>
          <w:p>
            <w:pPr>
              <w:pStyle w:val="0"/>
              <w:jc w:val="center"/>
            </w:pPr>
            <w:r>
              <w:rPr>
                <w:sz w:val="20"/>
              </w:rPr>
              <w:t xml:space="preserve">1,07</w:t>
            </w:r>
          </w:p>
        </w:tc>
        <w:tc>
          <w:tcPr>
            <w:tcW w:w="1980" w:type="dxa"/>
            <w:tcBorders>
              <w:top w:val="nil"/>
              <w:left w:val="nil"/>
              <w:bottom w:val="nil"/>
              <w:right w:val="nil"/>
            </w:tcBorders>
          </w:tcPr>
          <w:p>
            <w:pPr>
              <w:pStyle w:val="0"/>
              <w:jc w:val="center"/>
            </w:pPr>
            <w:r>
              <w:rPr>
                <w:sz w:val="20"/>
              </w:rPr>
              <w:t xml:space="preserve">0,838</w:t>
            </w:r>
          </w:p>
        </w:tc>
      </w:tr>
      <w:tr>
        <w:tc>
          <w:tcPr>
            <w:tcW w:w="3097" w:type="dxa"/>
            <w:tcBorders>
              <w:top w:val="nil"/>
              <w:left w:val="nil"/>
              <w:bottom w:val="nil"/>
              <w:right w:val="nil"/>
            </w:tcBorders>
          </w:tcPr>
          <w:p>
            <w:pPr>
              <w:pStyle w:val="0"/>
            </w:pPr>
            <w:r>
              <w:rPr>
                <w:sz w:val="20"/>
              </w:rPr>
              <w:t xml:space="preserve">Южный</w:t>
            </w:r>
          </w:p>
        </w:tc>
        <w:tc>
          <w:tcPr>
            <w:tcW w:w="1979" w:type="dxa"/>
            <w:tcBorders>
              <w:top w:val="nil"/>
              <w:left w:val="nil"/>
              <w:bottom w:val="nil"/>
              <w:right w:val="nil"/>
            </w:tcBorders>
          </w:tcPr>
          <w:p>
            <w:pPr>
              <w:pStyle w:val="0"/>
              <w:jc w:val="center"/>
            </w:pPr>
            <w:r>
              <w:rPr>
                <w:sz w:val="20"/>
              </w:rPr>
              <w:t xml:space="preserve">1,59</w:t>
            </w:r>
          </w:p>
        </w:tc>
        <w:tc>
          <w:tcPr>
            <w:tcW w:w="1979" w:type="dxa"/>
            <w:tcBorders>
              <w:top w:val="nil"/>
              <w:left w:val="nil"/>
              <w:bottom w:val="nil"/>
              <w:right w:val="nil"/>
            </w:tcBorders>
          </w:tcPr>
          <w:p>
            <w:pPr>
              <w:pStyle w:val="0"/>
              <w:jc w:val="center"/>
            </w:pPr>
            <w:r>
              <w:rPr>
                <w:sz w:val="20"/>
              </w:rPr>
              <w:t xml:space="preserve">0,96</w:t>
            </w:r>
          </w:p>
        </w:tc>
        <w:tc>
          <w:tcPr>
            <w:tcW w:w="1980" w:type="dxa"/>
            <w:tcBorders>
              <w:top w:val="nil"/>
              <w:left w:val="nil"/>
              <w:bottom w:val="nil"/>
              <w:right w:val="nil"/>
            </w:tcBorders>
          </w:tcPr>
          <w:p>
            <w:pPr>
              <w:pStyle w:val="0"/>
              <w:jc w:val="center"/>
            </w:pPr>
            <w:r>
              <w:rPr>
                <w:sz w:val="20"/>
              </w:rPr>
              <w:t xml:space="preserve">1,255</w:t>
            </w:r>
          </w:p>
        </w:tc>
      </w:tr>
      <w:tr>
        <w:tc>
          <w:tcPr>
            <w:tcW w:w="3097" w:type="dxa"/>
            <w:tcBorders>
              <w:top w:val="nil"/>
              <w:left w:val="nil"/>
              <w:bottom w:val="nil"/>
              <w:right w:val="nil"/>
            </w:tcBorders>
          </w:tcPr>
          <w:p>
            <w:pPr>
              <w:pStyle w:val="0"/>
            </w:pPr>
            <w:r>
              <w:rPr>
                <w:sz w:val="20"/>
              </w:rPr>
              <w:t xml:space="preserve">Приволжский</w:t>
            </w:r>
          </w:p>
        </w:tc>
        <w:tc>
          <w:tcPr>
            <w:tcW w:w="1979" w:type="dxa"/>
            <w:tcBorders>
              <w:top w:val="nil"/>
              <w:left w:val="nil"/>
              <w:bottom w:val="nil"/>
              <w:right w:val="nil"/>
            </w:tcBorders>
          </w:tcPr>
          <w:p>
            <w:pPr>
              <w:pStyle w:val="0"/>
              <w:jc w:val="center"/>
            </w:pPr>
            <w:r>
              <w:rPr>
                <w:sz w:val="20"/>
              </w:rPr>
              <w:t xml:space="preserve">1,67</w:t>
            </w:r>
          </w:p>
        </w:tc>
        <w:tc>
          <w:tcPr>
            <w:tcW w:w="1979" w:type="dxa"/>
            <w:tcBorders>
              <w:top w:val="nil"/>
              <w:left w:val="nil"/>
              <w:bottom w:val="nil"/>
              <w:right w:val="nil"/>
            </w:tcBorders>
          </w:tcPr>
          <w:p>
            <w:pPr>
              <w:pStyle w:val="0"/>
              <w:jc w:val="center"/>
            </w:pPr>
            <w:r>
              <w:rPr>
                <w:sz w:val="20"/>
              </w:rPr>
              <w:t xml:space="preserve">0,94</w:t>
            </w:r>
          </w:p>
        </w:tc>
        <w:tc>
          <w:tcPr>
            <w:tcW w:w="1980" w:type="dxa"/>
            <w:tcBorders>
              <w:top w:val="nil"/>
              <w:left w:val="nil"/>
              <w:bottom w:val="nil"/>
              <w:right w:val="nil"/>
            </w:tcBorders>
          </w:tcPr>
          <w:p>
            <w:pPr>
              <w:pStyle w:val="0"/>
              <w:jc w:val="center"/>
            </w:pPr>
            <w:r>
              <w:rPr>
                <w:sz w:val="20"/>
              </w:rPr>
              <w:t xml:space="preserve">0,498</w:t>
            </w:r>
          </w:p>
        </w:tc>
      </w:tr>
      <w:tr>
        <w:tc>
          <w:tcPr>
            <w:tcW w:w="3097" w:type="dxa"/>
            <w:tcBorders>
              <w:top w:val="nil"/>
              <w:left w:val="nil"/>
              <w:bottom w:val="nil"/>
              <w:right w:val="nil"/>
            </w:tcBorders>
          </w:tcPr>
          <w:p>
            <w:pPr>
              <w:pStyle w:val="0"/>
            </w:pPr>
            <w:r>
              <w:rPr>
                <w:sz w:val="20"/>
              </w:rPr>
              <w:t xml:space="preserve">Уральский</w:t>
            </w:r>
          </w:p>
        </w:tc>
        <w:tc>
          <w:tcPr>
            <w:tcW w:w="1979" w:type="dxa"/>
            <w:tcBorders>
              <w:top w:val="nil"/>
              <w:left w:val="nil"/>
              <w:bottom w:val="nil"/>
              <w:right w:val="nil"/>
            </w:tcBorders>
          </w:tcPr>
          <w:p>
            <w:pPr>
              <w:pStyle w:val="0"/>
              <w:jc w:val="center"/>
            </w:pPr>
            <w:r>
              <w:rPr>
                <w:sz w:val="20"/>
              </w:rPr>
              <w:t xml:space="preserve">2,10</w:t>
            </w:r>
          </w:p>
        </w:tc>
        <w:tc>
          <w:tcPr>
            <w:tcW w:w="1979" w:type="dxa"/>
            <w:tcBorders>
              <w:top w:val="nil"/>
              <w:left w:val="nil"/>
              <w:bottom w:val="nil"/>
              <w:right w:val="nil"/>
            </w:tcBorders>
          </w:tcPr>
          <w:p>
            <w:pPr>
              <w:pStyle w:val="0"/>
              <w:jc w:val="center"/>
            </w:pPr>
            <w:r>
              <w:rPr>
                <w:sz w:val="20"/>
              </w:rPr>
              <w:t xml:space="preserve">1,03</w:t>
            </w:r>
          </w:p>
        </w:tc>
        <w:tc>
          <w:tcPr>
            <w:tcW w:w="1980" w:type="dxa"/>
            <w:tcBorders>
              <w:top w:val="nil"/>
              <w:left w:val="nil"/>
              <w:bottom w:val="nil"/>
              <w:right w:val="nil"/>
            </w:tcBorders>
          </w:tcPr>
          <w:p>
            <w:pPr>
              <w:pStyle w:val="0"/>
              <w:jc w:val="center"/>
            </w:pPr>
            <w:r>
              <w:rPr>
                <w:sz w:val="20"/>
              </w:rPr>
              <w:t xml:space="preserve">0,426</w:t>
            </w:r>
          </w:p>
        </w:tc>
      </w:tr>
      <w:tr>
        <w:tc>
          <w:tcPr>
            <w:tcW w:w="3097" w:type="dxa"/>
            <w:tcBorders>
              <w:top w:val="nil"/>
              <w:left w:val="nil"/>
              <w:bottom w:val="nil"/>
              <w:right w:val="nil"/>
            </w:tcBorders>
          </w:tcPr>
          <w:p>
            <w:pPr>
              <w:pStyle w:val="0"/>
            </w:pPr>
            <w:r>
              <w:rPr>
                <w:sz w:val="20"/>
              </w:rPr>
              <w:t xml:space="preserve">Сибирский</w:t>
            </w:r>
          </w:p>
        </w:tc>
        <w:tc>
          <w:tcPr>
            <w:tcW w:w="1979" w:type="dxa"/>
            <w:tcBorders>
              <w:top w:val="nil"/>
              <w:left w:val="nil"/>
              <w:bottom w:val="nil"/>
              <w:right w:val="nil"/>
            </w:tcBorders>
          </w:tcPr>
          <w:p>
            <w:pPr>
              <w:pStyle w:val="0"/>
              <w:jc w:val="center"/>
            </w:pPr>
            <w:r>
              <w:rPr>
                <w:sz w:val="20"/>
              </w:rPr>
              <w:t xml:space="preserve">2,06</w:t>
            </w:r>
          </w:p>
        </w:tc>
        <w:tc>
          <w:tcPr>
            <w:tcW w:w="1979" w:type="dxa"/>
            <w:tcBorders>
              <w:top w:val="nil"/>
              <w:left w:val="nil"/>
              <w:bottom w:val="nil"/>
              <w:right w:val="nil"/>
            </w:tcBorders>
          </w:tcPr>
          <w:p>
            <w:pPr>
              <w:pStyle w:val="0"/>
              <w:jc w:val="center"/>
            </w:pPr>
            <w:r>
              <w:rPr>
                <w:sz w:val="20"/>
              </w:rPr>
              <w:t xml:space="preserve">1,01</w:t>
            </w:r>
          </w:p>
        </w:tc>
        <w:tc>
          <w:tcPr>
            <w:tcW w:w="1980" w:type="dxa"/>
            <w:tcBorders>
              <w:top w:val="nil"/>
              <w:left w:val="nil"/>
              <w:bottom w:val="nil"/>
              <w:right w:val="nil"/>
            </w:tcBorders>
          </w:tcPr>
          <w:p>
            <w:pPr>
              <w:pStyle w:val="0"/>
              <w:jc w:val="center"/>
            </w:pPr>
            <w:r>
              <w:rPr>
                <w:sz w:val="20"/>
              </w:rPr>
              <w:t xml:space="preserve">0,403</w:t>
            </w:r>
          </w:p>
        </w:tc>
      </w:tr>
      <w:tr>
        <w:tc>
          <w:tcPr>
            <w:tcW w:w="3097" w:type="dxa"/>
            <w:tcBorders>
              <w:top w:val="nil"/>
              <w:left w:val="nil"/>
              <w:bottom w:val="nil"/>
              <w:right w:val="nil"/>
            </w:tcBorders>
          </w:tcPr>
          <w:p>
            <w:pPr>
              <w:pStyle w:val="0"/>
            </w:pPr>
            <w:r>
              <w:rPr>
                <w:sz w:val="20"/>
              </w:rPr>
              <w:t xml:space="preserve">Дальневосточный</w:t>
            </w:r>
          </w:p>
        </w:tc>
        <w:tc>
          <w:tcPr>
            <w:tcW w:w="1979" w:type="dxa"/>
            <w:tcBorders>
              <w:top w:val="nil"/>
              <w:left w:val="nil"/>
              <w:bottom w:val="nil"/>
              <w:right w:val="nil"/>
            </w:tcBorders>
          </w:tcPr>
          <w:p>
            <w:pPr>
              <w:pStyle w:val="0"/>
              <w:jc w:val="center"/>
            </w:pPr>
            <w:r>
              <w:rPr>
                <w:sz w:val="20"/>
              </w:rPr>
              <w:t xml:space="preserve">2,14</w:t>
            </w:r>
          </w:p>
        </w:tc>
        <w:tc>
          <w:tcPr>
            <w:tcW w:w="1979" w:type="dxa"/>
            <w:tcBorders>
              <w:top w:val="nil"/>
              <w:left w:val="nil"/>
              <w:bottom w:val="nil"/>
              <w:right w:val="nil"/>
            </w:tcBorders>
          </w:tcPr>
          <w:p>
            <w:pPr>
              <w:pStyle w:val="0"/>
              <w:jc w:val="center"/>
            </w:pPr>
            <w:r>
              <w:rPr>
                <w:sz w:val="20"/>
              </w:rPr>
              <w:t xml:space="preserve">1,35</w:t>
            </w:r>
          </w:p>
        </w:tc>
        <w:tc>
          <w:tcPr>
            <w:tcW w:w="1980" w:type="dxa"/>
            <w:tcBorders>
              <w:top w:val="nil"/>
              <w:left w:val="nil"/>
              <w:bottom w:val="nil"/>
              <w:right w:val="nil"/>
            </w:tcBorders>
          </w:tcPr>
          <w:p>
            <w:pPr>
              <w:pStyle w:val="0"/>
              <w:jc w:val="center"/>
            </w:pPr>
            <w:r>
              <w:rPr>
                <w:sz w:val="20"/>
              </w:rPr>
              <w:t xml:space="preserve">0,508</w:t>
            </w:r>
          </w:p>
        </w:tc>
      </w:tr>
      <w:tr>
        <w:tc>
          <w:tcPr>
            <w:tcW w:w="3097" w:type="dxa"/>
            <w:tcBorders>
              <w:top w:val="nil"/>
              <w:left w:val="nil"/>
              <w:bottom w:val="single" w:sz="4"/>
              <w:right w:val="nil"/>
            </w:tcBorders>
          </w:tcPr>
          <w:p>
            <w:pPr>
              <w:pStyle w:val="0"/>
            </w:pPr>
            <w:r>
              <w:rPr>
                <w:sz w:val="20"/>
              </w:rPr>
              <w:t xml:space="preserve">Северо-Кавказский</w:t>
            </w:r>
          </w:p>
        </w:tc>
        <w:tc>
          <w:tcPr>
            <w:tcW w:w="1979" w:type="dxa"/>
            <w:tcBorders>
              <w:top w:val="nil"/>
              <w:left w:val="nil"/>
              <w:bottom w:val="single" w:sz="4"/>
              <w:right w:val="nil"/>
            </w:tcBorders>
          </w:tcPr>
          <w:p>
            <w:pPr>
              <w:pStyle w:val="0"/>
              <w:jc w:val="center"/>
            </w:pPr>
            <w:r>
              <w:rPr>
                <w:sz w:val="20"/>
              </w:rPr>
              <w:t xml:space="preserve">1,48</w:t>
            </w:r>
          </w:p>
        </w:tc>
        <w:tc>
          <w:tcPr>
            <w:tcW w:w="1979" w:type="dxa"/>
            <w:tcBorders>
              <w:top w:val="nil"/>
              <w:left w:val="nil"/>
              <w:bottom w:val="single" w:sz="4"/>
              <w:right w:val="nil"/>
            </w:tcBorders>
          </w:tcPr>
          <w:p>
            <w:pPr>
              <w:pStyle w:val="0"/>
              <w:jc w:val="center"/>
            </w:pPr>
            <w:r>
              <w:rPr>
                <w:sz w:val="20"/>
              </w:rPr>
              <w:t xml:space="preserve">0,96</w:t>
            </w:r>
          </w:p>
        </w:tc>
        <w:tc>
          <w:tcPr>
            <w:tcW w:w="1980" w:type="dxa"/>
            <w:tcBorders>
              <w:top w:val="nil"/>
              <w:left w:val="nil"/>
              <w:bottom w:val="single" w:sz="4"/>
              <w:right w:val="nil"/>
            </w:tcBorders>
          </w:tcPr>
          <w:p>
            <w:pPr>
              <w:pStyle w:val="0"/>
              <w:jc w:val="center"/>
            </w:pPr>
            <w:r>
              <w:rPr>
                <w:sz w:val="20"/>
              </w:rPr>
              <w:t xml:space="preserve">0,595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616" w:name="P616"/>
    <w:bookmarkEnd w:id="616"/>
    <w:p>
      <w:pPr>
        <w:pStyle w:val="2"/>
        <w:jc w:val="center"/>
      </w:pPr>
      <w:r>
        <w:rPr>
          <w:sz w:val="20"/>
        </w:rPr>
        <w:t xml:space="preserve">ИСХОДНОЕ ЗНАЧЕНИЕ</w:t>
      </w:r>
    </w:p>
    <w:p>
      <w:pPr>
        <w:pStyle w:val="2"/>
        <w:jc w:val="center"/>
      </w:pPr>
      <w:r>
        <w:rPr>
          <w:sz w:val="20"/>
        </w:rPr>
        <w:t xml:space="preserve">РАЗМЕРА ВРЕДА, ПРИЧИНЯЕМОГО ТРАНСПОРТНЫМИ СРЕДСТВАМИ</w:t>
      </w:r>
    </w:p>
    <w:p>
      <w:pPr>
        <w:pStyle w:val="2"/>
        <w:jc w:val="center"/>
      </w:pPr>
      <w:r>
        <w:rPr>
          <w:sz w:val="20"/>
        </w:rPr>
        <w:t xml:space="preserve">АВТОМОБИЛЬНЫМ ДОРОГАМ ПРИ ПРЕВЫШЕНИИ ДОПУСТИМЫХ НАГРУЗОК</w:t>
      </w:r>
    </w:p>
    <w:p>
      <w:pPr>
        <w:pStyle w:val="2"/>
        <w:jc w:val="center"/>
      </w:pPr>
      <w:r>
        <w:rPr>
          <w:sz w:val="20"/>
        </w:rPr>
        <w:t xml:space="preserve">НА ОСЬ ТРАНСПОРТНОГО СРЕДСТВА, И ПОСТОЯННЫЕ КОЭФФИЦИЕНТЫ</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093"/>
        <w:gridCol w:w="3733"/>
        <w:gridCol w:w="1614"/>
        <w:gridCol w:w="1614"/>
      </w:tblGrid>
      <w:tr>
        <w:tblPrEx>
          <w:tblBorders>
            <w:insideV w:val="single" w:sz="4"/>
            <w:insideH w:val="single" w:sz="4"/>
          </w:tblBorders>
        </w:tblPrEx>
        <w:tc>
          <w:tcPr>
            <w:tcW w:w="2093" w:type="dxa"/>
            <w:tcBorders>
              <w:top w:val="single" w:sz="4"/>
              <w:left w:val="nil"/>
              <w:bottom w:val="single" w:sz="4"/>
            </w:tcBorders>
            <w:vMerge w:val="restart"/>
          </w:tcPr>
          <w:p>
            <w:pPr>
              <w:pStyle w:val="0"/>
              <w:jc w:val="center"/>
            </w:pPr>
            <w:r>
              <w:rPr>
                <w:sz w:val="20"/>
              </w:rPr>
              <w:t xml:space="preserve">Нормативная нагрузка на ось транспортного средства, тонн</w:t>
            </w:r>
          </w:p>
        </w:tc>
        <w:tc>
          <w:tcPr>
            <w:tcW w:w="3733" w:type="dxa"/>
            <w:tcBorders>
              <w:top w:val="single" w:sz="4"/>
              <w:bottom w:val="single" w:sz="4"/>
            </w:tcBorders>
            <w:vMerge w:val="restart"/>
          </w:tcPr>
          <w:p>
            <w:pPr>
              <w:pStyle w:val="0"/>
              <w:jc w:val="center"/>
            </w:pPr>
            <w:r>
              <w:rPr>
                <w:sz w:val="20"/>
              </w:rPr>
              <w:t xml:space="preserve">Исходное значение размера вреда, причиняемого транспортными средствами автомобильным дорогам, при превышении допустимых нагрузок на ось транспортного средства (Р</w:t>
            </w:r>
            <w:r>
              <w:rPr>
                <w:sz w:val="20"/>
                <w:vertAlign w:val="subscript"/>
              </w:rPr>
              <w:t xml:space="preserve">исх.ось</w:t>
            </w:r>
            <w:r>
              <w:rPr>
                <w:sz w:val="20"/>
              </w:rPr>
              <w:t xml:space="preserve">), руб./100 км</w:t>
            </w:r>
          </w:p>
        </w:tc>
        <w:tc>
          <w:tcPr>
            <w:gridSpan w:val="2"/>
            <w:tcW w:w="3228" w:type="dxa"/>
            <w:tcBorders>
              <w:top w:val="single" w:sz="4"/>
              <w:bottom w:val="single" w:sz="4"/>
              <w:right w:val="nil"/>
            </w:tcBorders>
          </w:tcPr>
          <w:p>
            <w:pPr>
              <w:pStyle w:val="0"/>
              <w:jc w:val="center"/>
            </w:pPr>
            <w:r>
              <w:rPr>
                <w:sz w:val="20"/>
              </w:rPr>
              <w:t xml:space="preserve">Постоянные коэффициенты</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614" w:type="dxa"/>
            <w:tcBorders>
              <w:top w:val="single" w:sz="4"/>
              <w:bottom w:val="single" w:sz="4"/>
            </w:tcBorders>
          </w:tcPr>
          <w:p>
            <w:pPr>
              <w:pStyle w:val="0"/>
              <w:jc w:val="center"/>
            </w:pPr>
            <w:r>
              <w:rPr>
                <w:sz w:val="20"/>
              </w:rPr>
              <w:t xml:space="preserve">a</w:t>
            </w:r>
          </w:p>
        </w:tc>
        <w:tc>
          <w:tcPr>
            <w:tcW w:w="1614" w:type="dxa"/>
            <w:tcBorders>
              <w:top w:val="single" w:sz="4"/>
              <w:bottom w:val="single" w:sz="4"/>
              <w:right w:val="nil"/>
            </w:tcBorders>
          </w:tcPr>
          <w:p>
            <w:pPr>
              <w:pStyle w:val="0"/>
              <w:jc w:val="center"/>
            </w:pPr>
            <w:r>
              <w:rPr>
                <w:sz w:val="20"/>
              </w:rPr>
              <w:t xml:space="preserve">b</w:t>
            </w:r>
          </w:p>
        </w:tc>
      </w:tr>
      <w:tr>
        <w:tc>
          <w:tcPr>
            <w:tcW w:w="2093" w:type="dxa"/>
            <w:tcBorders>
              <w:top w:val="single" w:sz="4"/>
              <w:left w:val="nil"/>
              <w:bottom w:val="nil"/>
              <w:right w:val="nil"/>
            </w:tcBorders>
          </w:tcPr>
          <w:p>
            <w:pPr>
              <w:pStyle w:val="0"/>
              <w:jc w:val="center"/>
            </w:pPr>
            <w:r>
              <w:rPr>
                <w:sz w:val="20"/>
              </w:rPr>
              <w:t xml:space="preserve">6</w:t>
            </w:r>
          </w:p>
        </w:tc>
        <w:tc>
          <w:tcPr>
            <w:tcW w:w="3733" w:type="dxa"/>
            <w:tcBorders>
              <w:top w:val="single" w:sz="4"/>
              <w:left w:val="nil"/>
              <w:bottom w:val="nil"/>
              <w:right w:val="nil"/>
            </w:tcBorders>
          </w:tcPr>
          <w:p>
            <w:pPr>
              <w:pStyle w:val="0"/>
              <w:jc w:val="center"/>
            </w:pPr>
            <w:r>
              <w:rPr>
                <w:sz w:val="20"/>
              </w:rPr>
              <w:t xml:space="preserve">8500</w:t>
            </w:r>
          </w:p>
        </w:tc>
        <w:tc>
          <w:tcPr>
            <w:tcW w:w="1614" w:type="dxa"/>
            <w:tcBorders>
              <w:top w:val="single" w:sz="4"/>
              <w:left w:val="nil"/>
              <w:bottom w:val="nil"/>
              <w:right w:val="nil"/>
            </w:tcBorders>
          </w:tcPr>
          <w:p>
            <w:pPr>
              <w:pStyle w:val="0"/>
              <w:jc w:val="center"/>
            </w:pPr>
            <w:r>
              <w:rPr>
                <w:sz w:val="20"/>
              </w:rPr>
              <w:t xml:space="preserve">7,3</w:t>
            </w:r>
          </w:p>
        </w:tc>
        <w:tc>
          <w:tcPr>
            <w:tcW w:w="1614" w:type="dxa"/>
            <w:tcBorders>
              <w:top w:val="single" w:sz="4"/>
              <w:left w:val="nil"/>
              <w:bottom w:val="nil"/>
              <w:right w:val="nil"/>
            </w:tcBorders>
          </w:tcPr>
          <w:p>
            <w:pPr>
              <w:pStyle w:val="0"/>
              <w:jc w:val="center"/>
            </w:pPr>
            <w:r>
              <w:rPr>
                <w:sz w:val="20"/>
              </w:rPr>
              <w:t xml:space="preserve">0,27</w:t>
            </w:r>
          </w:p>
        </w:tc>
      </w:tr>
      <w:tr>
        <w:tc>
          <w:tcPr>
            <w:tcW w:w="2093" w:type="dxa"/>
            <w:tcBorders>
              <w:top w:val="nil"/>
              <w:left w:val="nil"/>
              <w:bottom w:val="nil"/>
              <w:right w:val="nil"/>
            </w:tcBorders>
          </w:tcPr>
          <w:p>
            <w:pPr>
              <w:pStyle w:val="0"/>
              <w:jc w:val="center"/>
            </w:pPr>
            <w:r>
              <w:rPr>
                <w:sz w:val="20"/>
              </w:rPr>
              <w:t xml:space="preserve">10</w:t>
            </w:r>
          </w:p>
        </w:tc>
        <w:tc>
          <w:tcPr>
            <w:tcW w:w="3733" w:type="dxa"/>
            <w:tcBorders>
              <w:top w:val="nil"/>
              <w:left w:val="nil"/>
              <w:bottom w:val="nil"/>
              <w:right w:val="nil"/>
            </w:tcBorders>
          </w:tcPr>
          <w:p>
            <w:pPr>
              <w:pStyle w:val="0"/>
              <w:jc w:val="center"/>
            </w:pPr>
            <w:r>
              <w:rPr>
                <w:sz w:val="20"/>
              </w:rPr>
              <w:t xml:space="preserve">1840</w:t>
            </w:r>
          </w:p>
        </w:tc>
        <w:tc>
          <w:tcPr>
            <w:tcW w:w="1614" w:type="dxa"/>
            <w:tcBorders>
              <w:top w:val="nil"/>
              <w:left w:val="nil"/>
              <w:bottom w:val="nil"/>
              <w:right w:val="nil"/>
            </w:tcBorders>
          </w:tcPr>
          <w:p>
            <w:pPr>
              <w:pStyle w:val="0"/>
              <w:jc w:val="center"/>
            </w:pPr>
            <w:r>
              <w:rPr>
                <w:sz w:val="20"/>
              </w:rPr>
              <w:t xml:space="preserve">37,7</w:t>
            </w:r>
          </w:p>
        </w:tc>
        <w:tc>
          <w:tcPr>
            <w:tcW w:w="1614" w:type="dxa"/>
            <w:tcBorders>
              <w:top w:val="nil"/>
              <w:left w:val="nil"/>
              <w:bottom w:val="nil"/>
              <w:right w:val="nil"/>
            </w:tcBorders>
          </w:tcPr>
          <w:p>
            <w:pPr>
              <w:pStyle w:val="0"/>
              <w:jc w:val="center"/>
            </w:pPr>
            <w:r>
              <w:rPr>
                <w:sz w:val="20"/>
              </w:rPr>
              <w:t xml:space="preserve">2,4</w:t>
            </w:r>
          </w:p>
        </w:tc>
      </w:tr>
      <w:tr>
        <w:tc>
          <w:tcPr>
            <w:tcW w:w="2093" w:type="dxa"/>
            <w:tcBorders>
              <w:top w:val="nil"/>
              <w:left w:val="nil"/>
              <w:bottom w:val="single" w:sz="4"/>
              <w:right w:val="nil"/>
            </w:tcBorders>
          </w:tcPr>
          <w:p>
            <w:pPr>
              <w:pStyle w:val="0"/>
              <w:jc w:val="center"/>
            </w:pPr>
            <w:r>
              <w:rPr>
                <w:sz w:val="20"/>
              </w:rPr>
              <w:t xml:space="preserve">11,5 и более</w:t>
            </w:r>
          </w:p>
        </w:tc>
        <w:tc>
          <w:tcPr>
            <w:tcW w:w="3733" w:type="dxa"/>
            <w:tcBorders>
              <w:top w:val="nil"/>
              <w:left w:val="nil"/>
              <w:bottom w:val="single" w:sz="4"/>
              <w:right w:val="nil"/>
            </w:tcBorders>
          </w:tcPr>
          <w:p>
            <w:pPr>
              <w:pStyle w:val="0"/>
              <w:jc w:val="center"/>
            </w:pPr>
            <w:r>
              <w:rPr>
                <w:sz w:val="20"/>
              </w:rPr>
              <w:t xml:space="preserve">840</w:t>
            </w:r>
          </w:p>
        </w:tc>
        <w:tc>
          <w:tcPr>
            <w:tcW w:w="1614" w:type="dxa"/>
            <w:tcBorders>
              <w:top w:val="nil"/>
              <w:left w:val="nil"/>
              <w:bottom w:val="single" w:sz="4"/>
              <w:right w:val="nil"/>
            </w:tcBorders>
          </w:tcPr>
          <w:p>
            <w:pPr>
              <w:pStyle w:val="0"/>
              <w:jc w:val="center"/>
            </w:pPr>
            <w:r>
              <w:rPr>
                <w:sz w:val="20"/>
              </w:rPr>
              <w:t xml:space="preserve">39,5</w:t>
            </w:r>
          </w:p>
        </w:tc>
        <w:tc>
          <w:tcPr>
            <w:tcW w:w="1614" w:type="dxa"/>
            <w:tcBorders>
              <w:top w:val="nil"/>
              <w:left w:val="nil"/>
              <w:bottom w:val="single" w:sz="4"/>
              <w:right w:val="nil"/>
            </w:tcBorders>
          </w:tcPr>
          <w:p>
            <w:pPr>
              <w:pStyle w:val="0"/>
              <w:jc w:val="center"/>
            </w:pPr>
            <w:r>
              <w:rPr>
                <w:sz w:val="20"/>
              </w:rPr>
              <w:t xml:space="preserve">2,7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движения тяжеловесного</w:t>
      </w:r>
    </w:p>
    <w:p>
      <w:pPr>
        <w:pStyle w:val="0"/>
        <w:jc w:val="right"/>
      </w:pPr>
      <w:r>
        <w:rPr>
          <w:sz w:val="20"/>
        </w:rPr>
        <w:t xml:space="preserve">и (или) крупногабаритного</w:t>
      </w:r>
    </w:p>
    <w:p>
      <w:pPr>
        <w:pStyle w:val="0"/>
        <w:jc w:val="right"/>
      </w:pPr>
      <w:r>
        <w:rPr>
          <w:sz w:val="20"/>
        </w:rPr>
        <w:t xml:space="preserve">транспортного средства</w:t>
      </w:r>
    </w:p>
    <w:p>
      <w:pPr>
        <w:pStyle w:val="0"/>
        <w:jc w:val="both"/>
      </w:pPr>
      <w:r>
        <w:rPr>
          <w:sz w:val="20"/>
        </w:rPr>
      </w:r>
    </w:p>
    <w:bookmarkStart w:id="648" w:name="P648"/>
    <w:bookmarkEnd w:id="648"/>
    <w:p>
      <w:pPr>
        <w:pStyle w:val="2"/>
        <w:jc w:val="center"/>
      </w:pPr>
      <w:r>
        <w:rPr>
          <w:sz w:val="20"/>
        </w:rPr>
        <w:t xml:space="preserve">СОСТАВ</w:t>
      </w:r>
    </w:p>
    <w:p>
      <w:pPr>
        <w:pStyle w:val="2"/>
        <w:jc w:val="center"/>
      </w:pPr>
      <w:r>
        <w:rPr>
          <w:sz w:val="20"/>
        </w:rPr>
        <w:t xml:space="preserve">СВЕДЕНИЙ ОБ АВТОМОБИЛЬНЫХ ДОРОГАХ, ВНОСИМЫХ ВЛАДЕЛЬЦАМИ</w:t>
      </w:r>
    </w:p>
    <w:p>
      <w:pPr>
        <w:pStyle w:val="2"/>
        <w:jc w:val="center"/>
      </w:pPr>
      <w:r>
        <w:rPr>
          <w:sz w:val="20"/>
        </w:rPr>
        <w:t xml:space="preserve">АВТОМОБИЛЬНОЙ ДОРОГИ В СИСТЕМУ ВЫДАЧИ</w:t>
      </w:r>
    </w:p>
    <w:p>
      <w:pPr>
        <w:pStyle w:val="2"/>
        <w:jc w:val="center"/>
      </w:pPr>
      <w:r>
        <w:rPr>
          <w:sz w:val="20"/>
        </w:rPr>
        <w:t xml:space="preserve">СПЕЦИАЛЬНОГО РАЗРЕШЕНИЯ</w:t>
      </w:r>
    </w:p>
    <w:p>
      <w:pPr>
        <w:pStyle w:val="0"/>
        <w:jc w:val="both"/>
      </w:pPr>
      <w:r>
        <w:rPr>
          <w:sz w:val="20"/>
        </w:rPr>
      </w:r>
    </w:p>
    <w:p>
      <w:pPr>
        <w:pStyle w:val="0"/>
        <w:ind w:firstLine="540"/>
        <w:jc w:val="both"/>
      </w:pPr>
      <w:r>
        <w:rPr>
          <w:sz w:val="20"/>
        </w:rPr>
        <w:t xml:space="preserve">1. Сведения об автомобильной дороге:</w:t>
      </w:r>
    </w:p>
    <w:p>
      <w:pPr>
        <w:pStyle w:val="0"/>
        <w:spacing w:before="200" w:line-rule="auto"/>
        <w:ind w:firstLine="540"/>
        <w:jc w:val="both"/>
      </w:pPr>
      <w:r>
        <w:rPr>
          <w:sz w:val="20"/>
        </w:rPr>
        <w:t xml:space="preserve">а) полное и сокращенное (при наличии) наименование юридического лица - владельца автомобильной дороги (ее участка) (в соответствии с учредительными документами этого юридического лица) или фамилия, имя и отчество (при наличии) физического лица - владельца автомобильной дороги;</w:t>
      </w:r>
    </w:p>
    <w:p>
      <w:pPr>
        <w:pStyle w:val="0"/>
        <w:spacing w:before="200" w:line-rule="auto"/>
        <w:ind w:firstLine="540"/>
        <w:jc w:val="both"/>
      </w:pPr>
      <w:r>
        <w:rPr>
          <w:sz w:val="20"/>
        </w:rPr>
        <w:t xml:space="preserve">б) полное и краткое наименование автомобильной дороги (по классификатору (при наличии);</w:t>
      </w:r>
    </w:p>
    <w:p>
      <w:pPr>
        <w:pStyle w:val="0"/>
        <w:spacing w:before="200" w:line-rule="auto"/>
        <w:ind w:firstLine="540"/>
        <w:jc w:val="both"/>
      </w:pPr>
      <w:r>
        <w:rPr>
          <w:sz w:val="20"/>
        </w:rPr>
        <w:t xml:space="preserve">в) значение автомобильной дороги (автомобильная дорога федерального, регионального или межмуниципального, местного значения или частная автомобильная дорога);</w:t>
      </w:r>
    </w:p>
    <w:p>
      <w:pPr>
        <w:pStyle w:val="0"/>
        <w:spacing w:before="200" w:line-rule="auto"/>
        <w:ind w:firstLine="540"/>
        <w:jc w:val="both"/>
      </w:pPr>
      <w:r>
        <w:rPr>
          <w:sz w:val="20"/>
        </w:rPr>
        <w:t xml:space="preserve">г) фактические значения технических характеристик автомобильной дороги:</w:t>
      </w:r>
    </w:p>
    <w:p>
      <w:pPr>
        <w:pStyle w:val="0"/>
        <w:spacing w:before="200" w:line-rule="auto"/>
        <w:ind w:firstLine="540"/>
        <w:jc w:val="both"/>
      </w:pPr>
      <w:r>
        <w:rPr>
          <w:sz w:val="20"/>
        </w:rPr>
        <w:t xml:space="preserve">тип дорожного покрытия;</w:t>
      </w:r>
    </w:p>
    <w:p>
      <w:pPr>
        <w:pStyle w:val="0"/>
        <w:spacing w:before="200" w:line-rule="auto"/>
        <w:ind w:firstLine="540"/>
        <w:jc w:val="both"/>
      </w:pPr>
      <w:r>
        <w:rPr>
          <w:sz w:val="20"/>
        </w:rPr>
        <w:t xml:space="preserve">нормативная нагрузка;</w:t>
      </w:r>
    </w:p>
    <w:p>
      <w:pPr>
        <w:pStyle w:val="0"/>
        <w:spacing w:before="200" w:line-rule="auto"/>
        <w:ind w:firstLine="540"/>
        <w:jc w:val="both"/>
      </w:pPr>
      <w:r>
        <w:rPr>
          <w:sz w:val="20"/>
        </w:rPr>
        <w:t xml:space="preserve">пикет начала и пикет конца;</w:t>
      </w:r>
    </w:p>
    <w:p>
      <w:pPr>
        <w:pStyle w:val="0"/>
        <w:spacing w:before="200" w:line-rule="auto"/>
        <w:ind w:firstLine="540"/>
        <w:jc w:val="both"/>
      </w:pPr>
      <w:r>
        <w:rPr>
          <w:sz w:val="20"/>
        </w:rPr>
        <w:t xml:space="preserve">протяженность;</w:t>
      </w:r>
    </w:p>
    <w:p>
      <w:pPr>
        <w:pStyle w:val="0"/>
        <w:spacing w:before="200" w:line-rule="auto"/>
        <w:ind w:firstLine="540"/>
        <w:jc w:val="both"/>
      </w:pPr>
      <w:r>
        <w:rPr>
          <w:sz w:val="20"/>
        </w:rPr>
        <w:t xml:space="preserve">категория дороги;</w:t>
      </w:r>
    </w:p>
    <w:p>
      <w:pPr>
        <w:pStyle w:val="0"/>
        <w:spacing w:before="200" w:line-rule="auto"/>
        <w:ind w:firstLine="540"/>
        <w:jc w:val="both"/>
      </w:pPr>
      <w:r>
        <w:rPr>
          <w:sz w:val="20"/>
        </w:rPr>
        <w:t xml:space="preserve">ширина проезжей части;</w:t>
      </w:r>
    </w:p>
    <w:p>
      <w:pPr>
        <w:pStyle w:val="0"/>
        <w:spacing w:before="200" w:line-rule="auto"/>
        <w:ind w:firstLine="540"/>
        <w:jc w:val="both"/>
      </w:pPr>
      <w:r>
        <w:rPr>
          <w:sz w:val="20"/>
        </w:rPr>
        <w:t xml:space="preserve">число полос движения;</w:t>
      </w:r>
    </w:p>
    <w:p>
      <w:pPr>
        <w:pStyle w:val="0"/>
        <w:spacing w:before="200" w:line-rule="auto"/>
        <w:ind w:firstLine="540"/>
        <w:jc w:val="both"/>
      </w:pPr>
      <w:r>
        <w:rPr>
          <w:sz w:val="20"/>
        </w:rPr>
        <w:t xml:space="preserve">количество сторон движения;</w:t>
      </w:r>
    </w:p>
    <w:p>
      <w:pPr>
        <w:pStyle w:val="0"/>
        <w:spacing w:before="200" w:line-rule="auto"/>
        <w:ind w:firstLine="540"/>
        <w:jc w:val="both"/>
      </w:pPr>
      <w:r>
        <w:rPr>
          <w:sz w:val="20"/>
        </w:rPr>
        <w:t xml:space="preserve">примечание (при необходимости);</w:t>
      </w:r>
    </w:p>
    <w:p>
      <w:pPr>
        <w:pStyle w:val="0"/>
        <w:spacing w:before="200" w:line-rule="auto"/>
        <w:ind w:firstLine="540"/>
        <w:jc w:val="both"/>
      </w:pPr>
      <w:r>
        <w:rPr>
          <w:sz w:val="20"/>
        </w:rPr>
        <w:t xml:space="preserve">информация о наличии (отсутствии) платы за проезд;</w:t>
      </w:r>
    </w:p>
    <w:p>
      <w:pPr>
        <w:pStyle w:val="0"/>
        <w:spacing w:before="200" w:line-rule="auto"/>
        <w:ind w:firstLine="540"/>
        <w:jc w:val="both"/>
      </w:pPr>
      <w:r>
        <w:rPr>
          <w:sz w:val="20"/>
        </w:rPr>
        <w:t xml:space="preserve">габарит приближения;</w:t>
      </w:r>
    </w:p>
    <w:p>
      <w:pPr>
        <w:pStyle w:val="0"/>
        <w:spacing w:before="200" w:line-rule="auto"/>
        <w:ind w:firstLine="540"/>
        <w:jc w:val="both"/>
      </w:pPr>
      <w:r>
        <w:rPr>
          <w:sz w:val="20"/>
        </w:rPr>
        <w:t xml:space="preserve">д) фактическое значение допустимых весовых параметров транспортных средств при движении по автомобильной дороге (масса, нагрузка на ось) или ее участкам.</w:t>
      </w:r>
    </w:p>
    <w:p>
      <w:pPr>
        <w:pStyle w:val="0"/>
        <w:spacing w:before="200" w:line-rule="auto"/>
        <w:ind w:firstLine="540"/>
        <w:jc w:val="both"/>
      </w:pPr>
      <w:r>
        <w:rPr>
          <w:sz w:val="20"/>
        </w:rPr>
        <w:t xml:space="preserve">2. Сведения о введенных временных ограничениях или прекращениях движения транспортных средств по автомобильным дорогам или их участкам, об особых условиях движения (при наличии) на автомобильных дорогах или их участках:</w:t>
      </w:r>
    </w:p>
    <w:p>
      <w:pPr>
        <w:pStyle w:val="0"/>
        <w:spacing w:before="200" w:line-rule="auto"/>
        <w:ind w:firstLine="540"/>
        <w:jc w:val="both"/>
      </w:pPr>
      <w:r>
        <w:rPr>
          <w:sz w:val="20"/>
        </w:rPr>
        <w:t xml:space="preserve">а) вид ограничения или прекращения движения;</w:t>
      </w:r>
    </w:p>
    <w:p>
      <w:pPr>
        <w:pStyle w:val="0"/>
        <w:spacing w:before="200" w:line-rule="auto"/>
        <w:ind w:firstLine="540"/>
        <w:jc w:val="both"/>
      </w:pPr>
      <w:r>
        <w:rPr>
          <w:sz w:val="20"/>
        </w:rPr>
        <w:t xml:space="preserve">б) наименование ограничения или прекращения движения;</w:t>
      </w:r>
    </w:p>
    <w:p>
      <w:pPr>
        <w:pStyle w:val="0"/>
        <w:spacing w:before="200" w:line-rule="auto"/>
        <w:ind w:firstLine="540"/>
        <w:jc w:val="both"/>
      </w:pPr>
      <w:r>
        <w:rPr>
          <w:sz w:val="20"/>
        </w:rPr>
        <w:t xml:space="preserve">в) период ограничения (дата начала ограничения и дата окончания ограничения);</w:t>
      </w:r>
    </w:p>
    <w:p>
      <w:pPr>
        <w:pStyle w:val="0"/>
        <w:spacing w:before="200" w:line-rule="auto"/>
        <w:ind w:firstLine="540"/>
        <w:jc w:val="both"/>
      </w:pPr>
      <w:r>
        <w:rPr>
          <w:sz w:val="20"/>
        </w:rPr>
        <w:t xml:space="preserve">г) пикет начала и пикет окончания участка с ограничением;</w:t>
      </w:r>
    </w:p>
    <w:p>
      <w:pPr>
        <w:pStyle w:val="0"/>
        <w:spacing w:before="200" w:line-rule="auto"/>
        <w:ind w:firstLine="540"/>
        <w:jc w:val="both"/>
      </w:pPr>
      <w:r>
        <w:rPr>
          <w:sz w:val="20"/>
        </w:rPr>
        <w:t xml:space="preserve">д) протяженность ограничения или прекращения движения;</w:t>
      </w:r>
    </w:p>
    <w:p>
      <w:pPr>
        <w:pStyle w:val="0"/>
        <w:spacing w:before="200" w:line-rule="auto"/>
        <w:ind w:firstLine="540"/>
        <w:jc w:val="both"/>
      </w:pPr>
      <w:r>
        <w:rPr>
          <w:sz w:val="20"/>
        </w:rPr>
        <w:t xml:space="preserve">е) параметры транспортного средства в связи с введенными ограничениями (максимальные ширина, длина, высота, масса и нагрузка на ось, минимальный радиус разворота);</w:t>
      </w:r>
    </w:p>
    <w:p>
      <w:pPr>
        <w:pStyle w:val="0"/>
        <w:spacing w:before="200" w:line-rule="auto"/>
        <w:ind w:firstLine="540"/>
        <w:jc w:val="both"/>
      </w:pPr>
      <w:r>
        <w:rPr>
          <w:sz w:val="20"/>
        </w:rPr>
        <w:t xml:space="preserve">ж) особые условия движения (при наличии).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01.12.2023 N 2060</w:t>
            <w:br/>
            <w:t>"Об утверждении Правил движения тяжеловесного и (или) крупногабаритн...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66300" TargetMode = "External"/>
	<Relationship Id="rId8" Type="http://schemas.openxmlformats.org/officeDocument/2006/relationships/hyperlink" Target="https://login.consultant.ru/link/?req=doc&amp;base=LAW&amp;n=366302" TargetMode = "External"/>
	<Relationship Id="rId9" Type="http://schemas.openxmlformats.org/officeDocument/2006/relationships/hyperlink" Target="https://login.consultant.ru/link/?req=doc&amp;base=LAW&amp;n=461843&amp;dst=100333" TargetMode = "External"/>
	<Relationship Id="rId10" Type="http://schemas.openxmlformats.org/officeDocument/2006/relationships/hyperlink" Target="https://login.consultant.ru/link/?req=doc&amp;base=LAW&amp;n=461843&amp;dst=439" TargetMode = "External"/>
	<Relationship Id="rId11" Type="http://schemas.openxmlformats.org/officeDocument/2006/relationships/hyperlink" Target="https://login.consultant.ru/link/?req=doc&amp;base=LAW&amp;n=461843&amp;dst=94" TargetMode = "External"/>
	<Relationship Id="rId12" Type="http://schemas.openxmlformats.org/officeDocument/2006/relationships/hyperlink" Target="https://login.consultant.ru/link/?req=doc&amp;base=LAW&amp;n=461843&amp;dst=100333" TargetMode = "External"/>
	<Relationship Id="rId13" Type="http://schemas.openxmlformats.org/officeDocument/2006/relationships/hyperlink" Target="https://login.consultant.ru/link/?req=doc&amp;base=LAW&amp;n=461843&amp;dst=100333" TargetMode = "External"/>
	<Relationship Id="rId14" Type="http://schemas.openxmlformats.org/officeDocument/2006/relationships/hyperlink" Target="https://login.consultant.ru/link/?req=doc&amp;base=LAW&amp;n=461843&amp;dst=341" TargetMode = "External"/>
	<Relationship Id="rId15" Type="http://schemas.openxmlformats.org/officeDocument/2006/relationships/hyperlink" Target="https://login.consultant.ru/link/?req=doc&amp;base=LAW&amp;n=475331&amp;dst=1027" TargetMode = "External"/>
	<Relationship Id="rId16" Type="http://schemas.openxmlformats.org/officeDocument/2006/relationships/hyperlink" Target="https://login.consultant.ru/link/?req=doc&amp;base=LAW&amp;n=475244" TargetMode = "External"/>
	<Relationship Id="rId17" Type="http://schemas.openxmlformats.org/officeDocument/2006/relationships/hyperlink" Target="https://login.consultant.ru/link/?req=doc&amp;base=LAW&amp;n=461843&amp;dst=123" TargetMode = "External"/>
	<Relationship Id="rId18" Type="http://schemas.openxmlformats.org/officeDocument/2006/relationships/hyperlink" Target="https://login.consultant.ru/link/?req=doc&amp;base=LAW&amp;n=461843&amp;dst=272" TargetMode = "External"/>
	<Relationship Id="rId19" Type="http://schemas.openxmlformats.org/officeDocument/2006/relationships/hyperlink" Target="https://login.consultant.ru/link/?req=doc&amp;base=LAW&amp;n=461843&amp;dst=432" TargetMode = "External"/>
	<Relationship Id="rId20" Type="http://schemas.openxmlformats.org/officeDocument/2006/relationships/hyperlink" Target="https://login.consultant.ru/link/?req=doc&amp;base=LAW&amp;n=461843&amp;dst=512" TargetMode = "External"/>
	<Relationship Id="rId21" Type="http://schemas.openxmlformats.org/officeDocument/2006/relationships/image" Target="media/image2.wmf"/>
	<Relationship Id="rId22" Type="http://schemas.openxmlformats.org/officeDocument/2006/relationships/image" Target="media/image3.wmf"/>
	<Relationship Id="rId23" Type="http://schemas.openxmlformats.org/officeDocument/2006/relationships/hyperlink" Target="https://login.consultant.ru/link/?req=doc&amp;base=LAW&amp;n=461843&amp;dst=100330" TargetMode = "External"/>
	<Relationship Id="rId24" Type="http://schemas.openxmlformats.org/officeDocument/2006/relationships/image" Target="media/image4.wmf"/>
	<Relationship Id="rId25" Type="http://schemas.openxmlformats.org/officeDocument/2006/relationships/image" Target="media/image5.wmf"/>
	<Relationship Id="rId26" Type="http://schemas.openxmlformats.org/officeDocument/2006/relationships/image" Target="media/image6.wmf"/>
	<Relationship Id="rId27" Type="http://schemas.openxmlformats.org/officeDocument/2006/relationships/hyperlink" Target="https://login.consultant.ru/link/?req=doc&amp;base=LAW&amp;n=476377&amp;dst=100011" TargetMode = "External"/>
	<Relationship Id="rId28" Type="http://schemas.openxmlformats.org/officeDocument/2006/relationships/hyperlink" Target="https://login.consultant.ru/link/?req=doc&amp;base=LAW&amp;n=379122&amp;dst=101701" TargetMode = "External"/>
	<Relationship Id="rId29" Type="http://schemas.openxmlformats.org/officeDocument/2006/relationships/hyperlink" Target="https://login.consultant.ru/link/?req=doc&amp;base=LAW&amp;n=430526&amp;dst=100011" TargetMode = "External"/>
	<Relationship Id="rId30" Type="http://schemas.openxmlformats.org/officeDocument/2006/relationships/hyperlink" Target="https://login.consultant.ru/link/?req=doc&amp;base=LAW&amp;n=417423&amp;dst=100009" TargetMode = "External"/>
	<Relationship Id="rId31" Type="http://schemas.openxmlformats.org/officeDocument/2006/relationships/hyperlink" Target="https://login.consultant.ru/link/?req=doc&amp;base=LAW&amp;n=3624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01.12.2023 N 2060
"Об утверждении Правил движения тяжеловесного и (или) крупногабаритного транспортного средства"</dc:title>
  <dcterms:created xsi:type="dcterms:W3CDTF">2024-06-14T11:10:29Z</dcterms:created>
</cp:coreProperties>
</file>